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10205" w:type="dxa"/>
        <w:jc w:val="left"/>
        <w:tblInd w:w="0" w:type="dxa"/>
        <w:tblLayout w:type="fixed"/>
        <w:tblCellMar>
          <w:top w:w="28" w:type="dxa"/>
          <w:left w:w="28" w:type="dxa"/>
          <w:bottom w:w="28" w:type="dxa"/>
          <w:right w:w="28" w:type="dxa"/>
        </w:tblCellMar>
      </w:tblPr>
      <w:tblGrid>
        <w:gridCol w:w="274"/>
        <w:gridCol w:w="242"/>
        <w:gridCol w:w="244"/>
        <w:gridCol w:w="2768"/>
        <w:gridCol w:w="2765"/>
        <w:gridCol w:w="3912"/>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(Mark one)</w:t>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x</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SEPTEMBER 30, 2025</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OR</w:t>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o</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For the transition period from                to</w:t>
            </w:r>
          </w:p>
        </w:tc>
      </w:tr>
    </w:tbl>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Commission file number 000-52423</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AECOM</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894" w:type="dxa"/>
        <w:jc w:val="left"/>
        <w:tblInd w:w="0" w:type="dxa"/>
        <w:tblLayout w:type="fixed"/>
        <w:tblCellMar>
          <w:top w:w="28" w:type="dxa"/>
          <w:left w:w="28" w:type="dxa"/>
          <w:bottom w:w="28" w:type="dxa"/>
          <w:right w:w="28" w:type="dxa"/>
        </w:tblCellMar>
      </w:tblPr>
      <w:tblGrid>
        <w:gridCol w:w="1284"/>
        <w:gridCol w:w="1129"/>
        <w:gridCol w:w="1141"/>
        <w:gridCol w:w="685"/>
        <w:gridCol w:w="685"/>
        <w:gridCol w:w="970"/>
      </w:tblGrid>
      <w:tr>
        <w:trPr/>
        <w:tc>
          <w:tcPr>
            <w:tcW w:w="128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Delaware</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61-1088522</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Number</w:t>
            </w:r>
          </w:p>
        </w:tc>
      </w:tr>
    </w:tbl>
    <w:tbl>
      <w:tblPr>
        <w:tblW w:w="3600" w:type="dxa"/>
        <w:jc w:val="left"/>
        <w:tblInd w:w="0" w:type="dxa"/>
        <w:tblLayout w:type="fixed"/>
        <w:tblCellMar>
          <w:top w:w="28" w:type="dxa"/>
          <w:left w:w="28" w:type="dxa"/>
          <w:bottom w:w="28" w:type="dxa"/>
          <w:right w:w="28" w:type="dxa"/>
        </w:tblCellMar>
      </w:tblPr>
      <w:tblGrid>
        <w:gridCol w:w="1017"/>
        <w:gridCol w:w="889"/>
        <w:gridCol w:w="899"/>
        <w:gridCol w:w="233"/>
        <w:gridCol w:w="233"/>
        <w:gridCol w:w="329"/>
      </w:tblGrid>
      <w:tr>
        <w:trPr/>
        <w:tc>
          <w:tcPr>
            <w:tcW w:w="101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13355 Noel Road</w:t>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Dallas, Texas</w:t>
            </w:r>
          </w:p>
        </w:tc>
        <w:tc>
          <w:tcPr>
            <w:tcW w:w="7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75240</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(972) 788-1000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w:t>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082" w:type="dxa"/>
        <w:jc w:val="left"/>
        <w:tblInd w:w="0" w:type="dxa"/>
        <w:tblLayout w:type="fixed"/>
        <w:tblCellMar>
          <w:top w:w="28" w:type="dxa"/>
          <w:left w:w="28" w:type="dxa"/>
          <w:bottom w:w="28" w:type="dxa"/>
          <w:right w:w="28" w:type="dxa"/>
        </w:tblCellMar>
      </w:tblPr>
      <w:tblGrid>
        <w:gridCol w:w="703"/>
        <w:gridCol w:w="622"/>
        <w:gridCol w:w="625"/>
        <w:gridCol w:w="109"/>
        <w:gridCol w:w="109"/>
        <w:gridCol w:w="109"/>
        <w:gridCol w:w="349"/>
        <w:gridCol w:w="349"/>
        <w:gridCol w:w="351"/>
        <w:gridCol w:w="109"/>
        <w:gridCol w:w="109"/>
        <w:gridCol w:w="109"/>
        <w:gridCol w:w="710"/>
        <w:gridCol w:w="710"/>
        <w:gridCol w:w="1009"/>
      </w:tblGrid>
      <w:tr>
        <w:trPr/>
        <w:tc>
          <w:tcPr>
            <w:tcW w:w="7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Name of each exchange on which registered</w:t>
            </w:r>
          </w:p>
        </w:tc>
      </w:tr>
      <w:tr>
        <w:trPr/>
        <w:tc>
          <w:tcPr>
            <w:tcW w:w="19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New York Stock Exchange</w:t>
            </w:r>
          </w:p>
        </w:tc>
      </w:tr>
    </w:tbl>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if the registrant is a well-known seasoned issuer, as defined in Rule 405 of the Securities Act.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if the registrant is not required to file reports pursuant to Section 13 or Section 15(d) of the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2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85"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564"/>
        <w:gridCol w:w="564"/>
        <w:gridCol w:w="5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4"/>
              </w:rPr>
            </w:pPr>
            <w:r>
              <w:rPr>
                <w:rFonts w:ascii="Times New Roman;serif" w:hAnsi="Times New Roman;serif"/>
                <w:b w:val="false"/>
                <w:color w:val="000000"/>
                <w:sz w:val="14"/>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4"/>
              </w:rPr>
            </w:pPr>
            <w:r>
              <w:rPr>
                <w:rFonts w:ascii="Times New Roman;serif" w:hAnsi="Times New Roman;serif"/>
                <w:b w:val="false"/>
                <w:color w:val="000000"/>
                <w:sz w:val="14"/>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4"/>
              </w:rPr>
            </w:pPr>
            <w:r>
              <w:rPr>
                <w:rFonts w:ascii="Times New Roman;serif" w:hAnsi="Times New Roman;serif"/>
                <w:b w:val="false"/>
                <w:color w:val="000000"/>
                <w:sz w:val="14"/>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8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80"/>
        <w:ind w:left="0" w:right="0" w:firstLine="720"/>
        <w:jc w:val="both"/>
        <w:rPr/>
      </w:pPr>
      <w:r>
        <w:rPr>
          <w:rFonts w:ascii="Times New Roman;serif" w:hAnsi="Times New Roman;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8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registrant’s common stock held by non-affiliates on March 28, 2025 (the last business day of the registrant’s most recently completed second fiscal quarter), based upon the closing price of a share of the registrant’s common stock on such date as reported on the New York Stock Exchange was approximately $12.2 billion.</w:t>
      </w:r>
    </w:p>
    <w:p>
      <w:pPr>
        <w:pStyle w:val="TextBody"/>
        <w:bidi w:val="0"/>
        <w:spacing w:lineRule="auto" w:line="288" w:before="0" w:after="8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Number of shares of the registrant’s common stock outstanding as of November 14, 2025: 131,833,332</w:t>
      </w:r>
    </w:p>
    <w:p>
      <w:pPr>
        <w:pStyle w:val="TextBody"/>
        <w:bidi w:val="0"/>
        <w:spacing w:lineRule="auto" w:line="288" w:before="0" w:after="80"/>
        <w:ind w:left="0" w:right="0" w:firstLine="72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8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Part III incorporates information by reference from the registrant’s definitive proxy statement for the 2026 Annual Meeting of Stockholders, to be filed within 120 days of the registrant’s fiscal 2025 year-end.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40"/>
                        <w:jc w:val="center"/>
                        <w:rPr/>
                      </w:pPr>
                      <w:r>
                        <w:rPr/>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0"/>
        <w:gridCol w:w="263"/>
        <w:gridCol w:w="3042"/>
        <w:gridCol w:w="2919"/>
        <w:gridCol w:w="2910"/>
        <w:gridCol w:w="149"/>
        <w:gridCol w:w="149"/>
        <w:gridCol w:w="216"/>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0">
              <w:r>
                <w:rPr>
                  <w:rStyle w:val="InternetLink"/>
                  <w:rFonts w:ascii="Times New Roman;serif" w:hAnsi="Times New Roman;serif"/>
                  <w:b w:val="false"/>
                  <w:color w:val="0000FF"/>
                  <w:sz w:val="20"/>
                  <w:u w:val="single"/>
                </w:rPr>
                <w:t>ITEM 1.</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0">
              <w:r>
                <w:rPr>
                  <w:rStyle w:val="InternetLink"/>
                  <w:rFonts w:ascii="Times New Roman;serif" w:hAnsi="Times New Roman;serif"/>
                  <w:b w:val="false"/>
                  <w:color w:val="0000FF"/>
                  <w:sz w:val="20"/>
                  <w:u w:val="single"/>
                </w:rPr>
                <w:t>BUSINESS</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e18c86d2ca441bfa9be40d39ca8c6da_10">
              <w:r>
                <w:rPr>
                  <w:rStyle w:val="InternetLink"/>
                  <w:rFonts w:ascii="Times New Roman;serif" w:hAnsi="Times New Roman;serif"/>
                  <w:b w:val="false"/>
                  <w:strike w:val="false"/>
                  <w:dstrike w:val="false"/>
                  <w:color w:val="000000"/>
                  <w:sz w:val="20"/>
                  <w:u w:val="none"/>
                  <w:effect w:val="none"/>
                </w:rPr>
                <w:t>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
              <w:r>
                <w:rPr>
                  <w:rStyle w:val="InternetLink"/>
                  <w:rFonts w:ascii="Times New Roman;serif" w:hAnsi="Times New Roman;serif"/>
                  <w:b w:val="false"/>
                  <w:color w:val="0000FF"/>
                  <w:sz w:val="20"/>
                  <w:u w:val="single"/>
                </w:rPr>
                <w:t>ITEM 1A.</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6">
              <w:r>
                <w:rPr>
                  <w:rStyle w:val="InternetLink"/>
                  <w:rFonts w:ascii="Times New Roman;serif" w:hAnsi="Times New Roman;serif"/>
                  <w:b w:val="false"/>
                  <w:strike w:val="false"/>
                  <w:dstrike w:val="false"/>
                  <w:color w:val="000000"/>
                  <w:sz w:val="20"/>
                  <w:u w:val="none"/>
                  <w:effect w:val="none"/>
                </w:rPr>
                <w:t>14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9">
              <w:r>
                <w:rPr>
                  <w:rStyle w:val="InternetLink"/>
                  <w:rFonts w:ascii="Times New Roman;serif" w:hAnsi="Times New Roman;serif"/>
                  <w:b w:val="false"/>
                  <w:color w:val="0000FF"/>
                  <w:sz w:val="20"/>
                  <w:u w:val="single"/>
                </w:rPr>
                <w:t>ITEM 1B.</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9">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9">
              <w:r>
                <w:rPr>
                  <w:rStyle w:val="InternetLink"/>
                  <w:rFonts w:ascii="Times New Roman;serif" w:hAnsi="Times New Roman;serif"/>
                  <w:b w:val="false"/>
                  <w:strike w:val="false"/>
                  <w:dstrike w:val="false"/>
                  <w:color w:val="000000"/>
                  <w:sz w:val="20"/>
                  <w:u w:val="none"/>
                  <w:effect w:val="none"/>
                </w:rPr>
                <w:t>28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2">
              <w:r>
                <w:rPr>
                  <w:rStyle w:val="InternetLink"/>
                  <w:rFonts w:ascii="Times New Roman;serif" w:hAnsi="Times New Roman;serif"/>
                  <w:b w:val="false"/>
                  <w:color w:val="0000FF"/>
                  <w:sz w:val="20"/>
                  <w:u w:val="single"/>
                </w:rPr>
                <w:t>ITEM 1C.</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2">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22">
              <w:r>
                <w:rPr>
                  <w:rStyle w:val="InternetLink"/>
                  <w:rFonts w:ascii="Times New Roman;serif" w:hAnsi="Times New Roman;serif"/>
                  <w:b w:val="false"/>
                  <w:strike w:val="false"/>
                  <w:dstrike w:val="false"/>
                  <w:color w:val="000000"/>
                  <w:sz w:val="20"/>
                  <w:u w:val="none"/>
                  <w:effect w:val="none"/>
                </w:rPr>
                <w:t>28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5">
              <w:r>
                <w:rPr>
                  <w:rStyle w:val="InternetLink"/>
                  <w:rFonts w:ascii="Times New Roman;serif" w:hAnsi="Times New Roman;serif"/>
                  <w:b w:val="false"/>
                  <w:color w:val="0000FF"/>
                  <w:sz w:val="20"/>
                  <w:u w:val="single"/>
                </w:rPr>
                <w:t>ITEM 2.</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5">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25">
              <w:r>
                <w:rPr>
                  <w:rStyle w:val="InternetLink"/>
                  <w:rFonts w:ascii="Times New Roman;serif" w:hAnsi="Times New Roman;serif"/>
                  <w:b w:val="false"/>
                  <w:strike w:val="false"/>
                  <w:dstrike w:val="false"/>
                  <w:color w:val="000000"/>
                  <w:sz w:val="20"/>
                  <w:u w:val="none"/>
                  <w:effect w:val="none"/>
                </w:rPr>
                <w:t>29</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8">
              <w:r>
                <w:rPr>
                  <w:rStyle w:val="InternetLink"/>
                  <w:rFonts w:ascii="Times New Roman;serif" w:hAnsi="Times New Roman;serif"/>
                  <w:b w:val="false"/>
                  <w:color w:val="0000FF"/>
                  <w:sz w:val="20"/>
                  <w:u w:val="single"/>
                </w:rPr>
                <w:t>ITEM 3.</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28">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28">
              <w:r>
                <w:rPr>
                  <w:rStyle w:val="InternetLink"/>
                  <w:rFonts w:ascii="Times New Roman;serif" w:hAnsi="Times New Roman;serif"/>
                  <w:b w:val="false"/>
                  <w:strike w:val="false"/>
                  <w:dstrike w:val="false"/>
                  <w:color w:val="000000"/>
                  <w:sz w:val="20"/>
                  <w:u w:val="none"/>
                  <w:effect w:val="none"/>
                </w:rPr>
                <w:t>29</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31">
              <w:r>
                <w:rPr>
                  <w:rStyle w:val="InternetLink"/>
                  <w:rFonts w:ascii="Times New Roman;serif" w:hAnsi="Times New Roman;serif"/>
                  <w:b w:val="false"/>
                  <w:color w:val="0000FF"/>
                  <w:sz w:val="20"/>
                  <w:u w:val="single"/>
                </w:rPr>
                <w:t>ITEM 4.</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31">
              <w:r>
                <w:rPr>
                  <w:rStyle w:val="InternetLink"/>
                  <w:rFonts w:ascii="Times New Roman;serif" w:hAnsi="Times New Roman;serif"/>
                  <w:b w:val="false"/>
                  <w:color w:val="0000FF"/>
                  <w:sz w:val="20"/>
                  <w:u w:val="single"/>
                </w:rPr>
                <w:t>MINE SAFETY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31">
              <w:r>
                <w:rPr>
                  <w:rStyle w:val="InternetLink"/>
                  <w:rFonts w:ascii="Times New Roman;serif" w:hAnsi="Times New Roman;serif"/>
                  <w:b w:val="false"/>
                  <w:strike w:val="false"/>
                  <w:dstrike w:val="false"/>
                  <w:color w:val="000000"/>
                  <w:sz w:val="20"/>
                  <w:u w:val="none"/>
                  <w:effect w:val="none"/>
                </w:rPr>
                <w:t>29</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34">
              <w:r>
                <w:rPr>
                  <w:rStyle w:val="InternetLink"/>
                  <w:rFonts w:ascii="Times New Roman;serif" w:hAnsi="Times New Roman;serif"/>
                  <w:b w:val="false"/>
                  <w:color w:val="0000FF"/>
                  <w:sz w:val="20"/>
                  <w:u w:val="single"/>
                </w:rPr>
                <w:t>ITEM 5.</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e18c86d2ca441bfa9be40d39ca8c6da_34">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34">
              <w:r>
                <w:rPr>
                  <w:rStyle w:val="InternetLink"/>
                  <w:rFonts w:ascii="Times New Roman;serif" w:hAnsi="Times New Roman;serif"/>
                  <w:b w:val="false"/>
                  <w:strike w:val="false"/>
                  <w:dstrike w:val="false"/>
                  <w:color w:val="000000"/>
                  <w:sz w:val="20"/>
                  <w:u w:val="none"/>
                  <w:effect w:val="none"/>
                </w:rPr>
                <w:t>30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40">
              <w:r>
                <w:rPr>
                  <w:rStyle w:val="InternetLink"/>
                  <w:rFonts w:ascii="Times New Roman;serif" w:hAnsi="Times New Roman;serif"/>
                  <w:b w:val="false"/>
                  <w:color w:val="0000FF"/>
                  <w:sz w:val="20"/>
                  <w:u w:val="single"/>
                </w:rPr>
                <w:t>ITEM 6.</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40">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40">
              <w:r>
                <w:rPr>
                  <w:rStyle w:val="InternetLink"/>
                  <w:rFonts w:ascii="Times New Roman;serif" w:hAnsi="Times New Roman;serif"/>
                  <w:b w:val="false"/>
                  <w:strike w:val="false"/>
                  <w:dstrike w:val="false"/>
                  <w:color w:val="000000"/>
                  <w:sz w:val="20"/>
                  <w:u w:val="none"/>
                  <w:effect w:val="none"/>
                </w:rPr>
                <w:t>31</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43">
              <w:r>
                <w:rPr>
                  <w:rStyle w:val="InternetLink"/>
                  <w:rFonts w:ascii="Times New Roman;serif" w:hAnsi="Times New Roman;serif"/>
                  <w:b w:val="false"/>
                  <w:color w:val="0000FF"/>
                  <w:sz w:val="20"/>
                  <w:u w:val="single"/>
                </w:rPr>
                <w:t>ITEM 7.</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e18c86d2ca441bfa9be40d39ca8c6da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43">
              <w:r>
                <w:rPr>
                  <w:rStyle w:val="InternetLink"/>
                  <w:rFonts w:ascii="Times New Roman;serif" w:hAnsi="Times New Roman;serif"/>
                  <w:b w:val="false"/>
                  <w:strike w:val="false"/>
                  <w:dstrike w:val="false"/>
                  <w:color w:val="000000"/>
                  <w:sz w:val="20"/>
                  <w:u w:val="none"/>
                  <w:effect w:val="none"/>
                </w:rPr>
                <w:t>32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64">
              <w:r>
                <w:rPr>
                  <w:rStyle w:val="InternetLink"/>
                  <w:rFonts w:ascii="Times New Roman;serif" w:hAnsi="Times New Roman;serif"/>
                  <w:b w:val="false"/>
                  <w:color w:val="0000FF"/>
                  <w:sz w:val="20"/>
                  <w:u w:val="single"/>
                </w:rPr>
                <w:t>ITEM 7A.</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64">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64">
              <w:r>
                <w:rPr>
                  <w:rStyle w:val="InternetLink"/>
                  <w:rFonts w:ascii="Times New Roman;serif" w:hAnsi="Times New Roman;serif"/>
                  <w:b w:val="false"/>
                  <w:strike w:val="false"/>
                  <w:dstrike w:val="false"/>
                  <w:color w:val="000000"/>
                  <w:sz w:val="20"/>
                  <w:u w:val="none"/>
                  <w:effect w:val="none"/>
                </w:rPr>
                <w:t>51</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67">
              <w:r>
                <w:rPr>
                  <w:rStyle w:val="InternetLink"/>
                  <w:rFonts w:ascii="Times New Roman;serif" w:hAnsi="Times New Roman;serif"/>
                  <w:b w:val="false"/>
                  <w:color w:val="0000FF"/>
                  <w:sz w:val="20"/>
                  <w:u w:val="single"/>
                </w:rPr>
                <w:t>ITEM 8.</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67">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67">
              <w:r>
                <w:rPr>
                  <w:rStyle w:val="InternetLink"/>
                  <w:rFonts w:ascii="Times New Roman;serif" w:hAnsi="Times New Roman;serif"/>
                  <w:b w:val="false"/>
                  <w:strike w:val="false"/>
                  <w:dstrike w:val="false"/>
                  <w:color w:val="000000"/>
                  <w:sz w:val="20"/>
                  <w:u w:val="none"/>
                  <w:effect w:val="none"/>
                </w:rPr>
                <w:t>52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57">
              <w:r>
                <w:rPr>
                  <w:rStyle w:val="InternetLink"/>
                  <w:rFonts w:ascii="Times New Roman;serif" w:hAnsi="Times New Roman;serif"/>
                  <w:b w:val="false"/>
                  <w:color w:val="0000FF"/>
                  <w:sz w:val="20"/>
                  <w:u w:val="single"/>
                </w:rPr>
                <w:t>ITEM 9.</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e18c86d2ca441bfa9be40d39ca8c6da_15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57">
              <w:r>
                <w:rPr>
                  <w:rStyle w:val="InternetLink"/>
                  <w:rFonts w:ascii="Times New Roman;serif" w:hAnsi="Times New Roman;serif"/>
                  <w:b w:val="false"/>
                  <w:strike w:val="false"/>
                  <w:dstrike w:val="false"/>
                  <w:color w:val="000000"/>
                  <w:sz w:val="20"/>
                  <w:u w:val="none"/>
                  <w:effect w:val="none"/>
                </w:rPr>
                <w:t>97</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0">
              <w:r>
                <w:rPr>
                  <w:rStyle w:val="InternetLink"/>
                  <w:rFonts w:ascii="Times New Roman;serif" w:hAnsi="Times New Roman;serif"/>
                  <w:b w:val="false"/>
                  <w:color w:val="0000FF"/>
                  <w:sz w:val="20"/>
                  <w:u w:val="single"/>
                </w:rPr>
                <w:t>ITEM 9A.</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0">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60">
              <w:r>
                <w:rPr>
                  <w:rStyle w:val="InternetLink"/>
                  <w:rFonts w:ascii="Times New Roman;serif" w:hAnsi="Times New Roman;serif"/>
                  <w:b w:val="false"/>
                  <w:strike w:val="false"/>
                  <w:dstrike w:val="false"/>
                  <w:color w:val="000000"/>
                  <w:sz w:val="20"/>
                  <w:u w:val="none"/>
                  <w:effect w:val="none"/>
                </w:rPr>
                <w:t>97</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3">
              <w:r>
                <w:rPr>
                  <w:rStyle w:val="InternetLink"/>
                  <w:rFonts w:ascii="Times New Roman;serif" w:hAnsi="Times New Roman;serif"/>
                  <w:b w:val="false"/>
                  <w:color w:val="0000FF"/>
                  <w:sz w:val="20"/>
                  <w:u w:val="single"/>
                </w:rPr>
                <w:t>ITEM 9B.</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3">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63">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6">
              <w:r>
                <w:rPr>
                  <w:rStyle w:val="InternetLink"/>
                  <w:rFonts w:ascii="Times New Roman;serif" w:hAnsi="Times New Roman;serif"/>
                  <w:b w:val="false"/>
                  <w:color w:val="0000FF"/>
                  <w:sz w:val="20"/>
                  <w:u w:val="single"/>
                </w:rPr>
                <w:t>ITEM 9C.</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6">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66">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9">
              <w:r>
                <w:rPr>
                  <w:rStyle w:val="InternetLink"/>
                  <w:rFonts w:ascii="Times New Roman;serif" w:hAnsi="Times New Roman;serif"/>
                  <w:b w:val="false"/>
                  <w:color w:val="0000FF"/>
                  <w:sz w:val="20"/>
                  <w:u w:val="single"/>
                </w:rPr>
                <w:t>ITEM 10.</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69">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69">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75">
              <w:r>
                <w:rPr>
                  <w:rStyle w:val="InternetLink"/>
                  <w:rFonts w:ascii="Times New Roman;serif" w:hAnsi="Times New Roman;serif"/>
                  <w:b w:val="false"/>
                  <w:color w:val="0000FF"/>
                  <w:sz w:val="20"/>
                  <w:u w:val="single"/>
                </w:rPr>
                <w:t>ITEM 11.</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75">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75">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78">
              <w:r>
                <w:rPr>
                  <w:rStyle w:val="InternetLink"/>
                  <w:rFonts w:ascii="Times New Roman;serif" w:hAnsi="Times New Roman;serif"/>
                  <w:b w:val="false"/>
                  <w:color w:val="0000FF"/>
                  <w:sz w:val="20"/>
                  <w:u w:val="single"/>
                </w:rPr>
                <w:t>ITEM 12.</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e18c86d2ca441bfa9be40d39ca8c6da_17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78">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81">
              <w:r>
                <w:rPr>
                  <w:rStyle w:val="InternetLink"/>
                  <w:rFonts w:ascii="Times New Roman;serif" w:hAnsi="Times New Roman;serif"/>
                  <w:b w:val="false"/>
                  <w:color w:val="0000FF"/>
                  <w:sz w:val="20"/>
                  <w:u w:val="single"/>
                </w:rPr>
                <w:t>ITEM 13.</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ae18c86d2ca441bfa9be40d39ca8c6da_181">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81">
              <w:r>
                <w:rPr>
                  <w:rStyle w:val="InternetLink"/>
                  <w:rFonts w:ascii="Times New Roman;serif" w:hAnsi="Times New Roman;serif"/>
                  <w:b w:val="false"/>
                  <w:strike w:val="false"/>
                  <w:dstrike w:val="false"/>
                  <w:color w:val="000000"/>
                  <w:sz w:val="20"/>
                  <w:u w:val="none"/>
                  <w:effect w:val="none"/>
                </w:rPr>
                <w:t>98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84">
              <w:r>
                <w:rPr>
                  <w:rStyle w:val="InternetLink"/>
                  <w:rFonts w:ascii="Times New Roman;serif" w:hAnsi="Times New Roman;serif"/>
                  <w:b w:val="false"/>
                  <w:color w:val="0000FF"/>
                  <w:sz w:val="20"/>
                  <w:u w:val="single"/>
                </w:rPr>
                <w:t>ITEM 14.</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84">
              <w:r>
                <w:rPr>
                  <w:rStyle w:val="InternetLink"/>
                  <w:rFonts w:ascii="Times New Roman;serif" w:hAnsi="Times New Roman;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84">
              <w:r>
                <w:rPr>
                  <w:rStyle w:val="InternetLink"/>
                  <w:rFonts w:ascii="Times New Roman;serif" w:hAnsi="Times New Roman;serif"/>
                  <w:b w:val="false"/>
                  <w:strike w:val="false"/>
                  <w:dstrike w:val="false"/>
                  <w:color w:val="000000"/>
                  <w:sz w:val="20"/>
                  <w:u w:val="none"/>
                  <w:effect w:val="none"/>
                </w:rPr>
                <w:t>99</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87">
              <w:r>
                <w:rPr>
                  <w:rStyle w:val="InternetLink"/>
                  <w:rFonts w:ascii="Times New Roman;serif" w:hAnsi="Times New Roman;serif"/>
                  <w:b w:val="false"/>
                  <w:color w:val="0000FF"/>
                  <w:sz w:val="20"/>
                  <w:u w:val="single"/>
                </w:rPr>
                <w:t>ITEM 15.</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87">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87">
              <w:r>
                <w:rPr>
                  <w:rStyle w:val="InternetLink"/>
                  <w:rFonts w:ascii="Times New Roman;serif" w:hAnsi="Times New Roman;serif"/>
                  <w:b w:val="false"/>
                  <w:strike w:val="false"/>
                  <w:dstrike w:val="false"/>
                  <w:color w:val="000000"/>
                  <w:sz w:val="20"/>
                  <w:u w:val="none"/>
                  <w:effect w:val="none"/>
                </w:rPr>
                <w:t>100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93">
              <w:r>
                <w:rPr>
                  <w:rStyle w:val="InternetLink"/>
                  <w:rFonts w:ascii="Times New Roman;serif" w:hAnsi="Times New Roman;serif"/>
                  <w:b w:val="false"/>
                  <w:color w:val="0000FF"/>
                  <w:sz w:val="20"/>
                  <w:u w:val="single"/>
                </w:rPr>
                <w:t>ITEM 16.</w:t>
              </w:r>
            </w:hyperlink>
          </w:p>
        </w:tc>
        <w:tc>
          <w:tcPr>
            <w:tcW w:w="88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193">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193">
              <w:r>
                <w:rPr>
                  <w:rStyle w:val="InternetLink"/>
                  <w:rFonts w:ascii="Times New Roman;serif" w:hAnsi="Times New Roman;serif"/>
                  <w:b w:val="false"/>
                  <w:strike w:val="false"/>
                  <w:dstrike w:val="false"/>
                  <w:color w:val="000000"/>
                  <w:sz w:val="20"/>
                  <w:u w:val="none"/>
                  <w:effect w:val="non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this report, we use the terms “the Company,” “we,” “us” and “our” to refer to AECOM and its consolidated subsidiaries. Unless otherwise noted, references to years are for fiscal years. Our fiscal year consists of 52 or 53 weeks, ending on the Friday closest to September 30. For clarity of presentation, we present all periods as if the year ended on September 30. We refer to the fiscal year ended September 30, 2024 as “fiscal 2024” and the fiscal year ended September 30, 2025 as “fiscal 2025.”</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leading global provider of professional infrastructure consulting and advisory services for governments, businesses and organizations throughout the world. We provide advisory, planning, consulting, architectural and engineering design, construction and program management services, and investment and development services to public and private clients worldwide in major end markets such as transportation, facilities, water, environmental, and energy.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 to Engineering News-Record’s (ENR’s) 2025 Design Survey, we are the largest general architectural and engineering design firm in the world, ranked by 2024 design revenue, and we are the number one ranked water, transportation design, facilities design, environmental engineering, environmental consulting and environmental science firm in the world. In addition, we are ranked by ENR as the leading firm in a number of design end markets, including several water infrastructure-related markets. We utilize our scale and the technical strength of our workforce to create innovative solutions for our clients. Clients are increasingly seeking our technical expertise to solve the world’s most complex and large scale infrastructure related challenges. Aging infrastructure, increasing urbanization, and growing energy demand create growth secular tailwinds for our markets. Our global network of technical experts, combined with our ability to advise, consult, design, and deliver program management services creates a competitive advantage. Our scale also creates the capacity for investment in digital capabilities that further enhance our delivery capabilities and value proposition.</w:t>
      </w:r>
    </w:p>
    <w:p>
      <w:pPr>
        <w:pStyle w:val="TextBody"/>
        <w:bidi w:val="0"/>
        <w:spacing w:before="0" w:after="240"/>
        <w:jc w:val="center"/>
        <w:rPr/>
      </w:pPr>
      <w:r>
        <w:rPr/>
        <w:drawing>
          <wp:inline distT="0" distB="0" distL="0" distR="0">
            <wp:extent cx="4114800" cy="2743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4114800" cy="2743200"/>
                    </a:xfrm>
                    <a:prstGeom prst="rect">
                      <a:avLst/>
                    </a:prstGeom>
                  </pic:spPr>
                </pic:pic>
              </a:graphicData>
            </a:graphic>
          </wp:inline>
        </w:drawing>
      </w:r>
      <w:bookmarkStart w:id="0" w:name="i-1"/>
      <w:bookmarkEnd w:id="0"/>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focuses primarily on providing fee-based knowledge-based services. We primarily derive income from our ability to generate revenue and collect cash from our clients through the billing of our employees’ time spent on client projects and our ability to manage our costs. AECOM Capital primarily derives its income from real estate development sales and management fees.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2020, we reorganized our operating and reporting structure to better align with our ongoing professional services business. This reorganization better reflected our continuing operations after the sale of our Management Services segment, the sale of our self-perform at-risk civil infrastructure and power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businesses, and the sale of our oil &amp; gas construction business. Our Management Services and self-perform at-risk construction businesses were part of our former Management Services segment and represented a substantial portion of the revenue of our former Construction Services segment, respectively. These businesses are classified as discontinued operations in all periods presented.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report our continuing business through three segments, each of which is described in further detail below: Americas, International, and AECOM Capital (ACAP). Such segments are organized by the differing specialized needs of the respective clients and how we manage the business. We have aggregated various operating segments into our reportable segments based on their similar characteristics, including similar long-term financial performance, the nature of services provided, internal processes for delivering those services, and types of customers.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i/>
          <w:color w:val="000000"/>
          <w:sz w:val="20"/>
        </w:rPr>
        <w:t>Americas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Planning, advisory, consulting, architectural and engineering design, construction management and program management services to public and private clients in the United States, Canada, and Latin America in major end markets such as transportation, water, government, facilities, environmental, and energy.</w:t>
      </w:r>
    </w:p>
    <w:p>
      <w:pPr>
        <w:pStyle w:val="TextBody"/>
        <w:bidi w:val="0"/>
        <w:spacing w:lineRule="auto" w:line="288" w:before="0" w:after="240"/>
        <w:ind w:left="0" w:right="0" w:hanging="389"/>
        <w:jc w:val="both"/>
        <w:rPr/>
      </w:pPr>
      <w:r>
        <w:rPr>
          <w:color w:val="000000"/>
        </w:rPr>
        <w:t>•</w:t>
      </w:r>
      <w:r>
        <w:rPr>
          <w:rFonts w:ascii="Times New Roman;serif" w:hAnsi="Times New Roman;serif"/>
          <w:b w:val="false"/>
          <w:i/>
          <w:color w:val="000000"/>
          <w:sz w:val="20"/>
        </w:rPr>
        <w:t>International</w:t>
      </w:r>
      <w:r>
        <w:rPr>
          <w:rFonts w:ascii="Times New Roman;serif" w:hAnsi="Times New Roman;serif"/>
          <w:b w:val="false"/>
          <w:color w:val="000000"/>
          <w:sz w:val="20"/>
        </w:rPr>
        <w:t>: Planning, advisory, consulting, architectural and engineering design services, site supervision and program management to public and private clients in Europe, the Middle East, India, Africa, and the Asia-Australia-Pacific regions in major end markets such as transportation, water, government, facilities, environmental, and energy.</w:t>
      </w:r>
    </w:p>
    <w:p>
      <w:pPr>
        <w:pStyle w:val="TextBody"/>
        <w:bidi w:val="0"/>
        <w:spacing w:lineRule="auto" w:line="288" w:before="0" w:after="240"/>
        <w:ind w:left="0" w:right="0" w:hanging="389"/>
        <w:jc w:val="both"/>
        <w:rPr/>
      </w:pPr>
      <w:r>
        <w:rPr>
          <w:color w:val="000000"/>
        </w:rPr>
        <w:t>•</w:t>
      </w:r>
      <w:r>
        <w:rPr>
          <w:rFonts w:ascii="Times New Roman;serif" w:hAnsi="Times New Roman;serif"/>
          <w:b w:val="false"/>
          <w:i/>
          <w:color w:val="000000"/>
          <w:sz w:val="20"/>
        </w:rPr>
        <w:t>AECOM Capital (ACAP)</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Primarily invests in and develops real estate projects.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Our Americas and International Segments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Americas and International segments are comprised of a broad array of services, generally provided on a fee-for-service basis. These services include advisory, planning, consulting, architectural and engineering design, program management and construction management for public and private clients worldwide. For each of these services, our technical expertise includes civil engineering, structural engineering, digital, process engineering, mechanical engineering, geotechnical systems and electrical engineering, architectural, landscape and interior design, urban and regional planning, project economics, cost consulting and environmental, health and safety work.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our design and technical consulting, advisory and program management expertise, we are able to provide our clients a broad spectrum of services across the life cycle of their assets. For example, within our water service offerings, we provide water, wastewater, water supply and water resource services, which are necessary in response to sustainability and resilience, drought mitigation and other factors as part of major capital/infrastructure projects.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services may be sequenced over multiple phases or multiple projects in the form of a program. For example, in the area of program management and construction management services, our work for a client may begin with a small consulting or planning contract, and may later develop into a broader advisory, design or overall management role for the project or a series of projects, which we refer to as a program. Program and construction management contracts may employ small or large project teams and, in many cases, operate with our staff located at the project site.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industry is poised to capitalize on the benefits of AI and innovation. We are investing to lead this transformation, which will extend our advantages, improve overall delivery, and create distinct solutions for clients that differentiate us from competitors and enhance our client experience. These investments include capturing the value of our libraries of data to build more efficient design processes, and innovative and more advanced AI solutions for increasingly complex challenges that will accelerate design delivery and reduce the materials and costs required for a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5057775" cy="33718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057775" cy="3371850"/>
                    </a:xfrm>
                    <a:prstGeom prst="rect">
                      <a:avLst/>
                    </a:prstGeom>
                  </pic:spPr>
                </pic:pic>
              </a:graphicData>
            </a:graphic>
          </wp:inline>
        </w:drawing>
      </w:r>
      <w:bookmarkStart w:id="1" w:name="i-2"/>
      <w:bookmarkEnd w:id="1"/>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the services in these segments both directly and through joint ventures or similar arrangements to the following end markets or business sectors: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Transportation</w:t>
      </w:r>
      <w:r>
        <w:rPr>
          <w:rFonts w:ascii="Times New Roman;serif" w:hAnsi="Times New Roman;serif"/>
          <w:b w:val="false"/>
          <w:color w:val="000000"/>
          <w:sz w:val="20"/>
        </w:rPr>
        <w:t>.</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Transit and Rail.</w:t>
      </w:r>
      <w:r>
        <w:rPr>
          <w:color w:val="000000"/>
        </w:rPr>
        <w:t xml:space="preserve"> </w:t>
      </w:r>
      <w:r>
        <w:rPr>
          <w:rFonts w:ascii="Times New Roman;serif" w:hAnsi="Times New Roman;serif"/>
          <w:b w:val="false"/>
          <w:color w:val="000000"/>
          <w:sz w:val="20"/>
        </w:rPr>
        <w:t>Light rail, heavy rail (including highspeed, commuter and freight) and multimodal transit projects.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Marine, Ports and Harbors.</w:t>
      </w:r>
      <w:r>
        <w:rPr>
          <w:color w:val="000000"/>
        </w:rPr>
        <w:t xml:space="preserve"> </w:t>
      </w:r>
      <w:r>
        <w:rPr>
          <w:rFonts w:ascii="Times New Roman;serif" w:hAnsi="Times New Roman;serif"/>
          <w:b w:val="false"/>
          <w:color w:val="000000"/>
          <w:sz w:val="20"/>
        </w:rPr>
        <w:t>Wharf facilities and container port facilities for private and public port operators.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Highways, Bridges and Tunnels.</w:t>
      </w:r>
      <w:r>
        <w:rPr>
          <w:color w:val="000000"/>
        </w:rPr>
        <w:t xml:space="preserve"> </w:t>
      </w:r>
      <w:r>
        <w:rPr>
          <w:rFonts w:ascii="Times New Roman;serif" w:hAnsi="Times New Roman;serif"/>
          <w:b w:val="false"/>
          <w:color w:val="000000"/>
          <w:sz w:val="20"/>
        </w:rPr>
        <w:t>Interstate, primary and secondary urban and rural highway systems and bridge projects.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Aviation.</w:t>
      </w:r>
      <w:r>
        <w:rPr>
          <w:color w:val="000000"/>
        </w:rPr>
        <w:t xml:space="preserve"> </w:t>
      </w:r>
      <w:r>
        <w:rPr>
          <w:rFonts w:ascii="Times New Roman;serif" w:hAnsi="Times New Roman;serif"/>
          <w:b w:val="false"/>
          <w:color w:val="000000"/>
          <w:sz w:val="20"/>
        </w:rPr>
        <w:t>Landside terminal and airside facilities, runways, and taxiways.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Facilities.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Energy Efficient Facilities.</w:t>
      </w:r>
      <w:r>
        <w:rPr>
          <w:color w:val="000000"/>
        </w:rPr>
        <w:t xml:space="preserve"> </w:t>
      </w:r>
      <w:r>
        <w:rPr>
          <w:rFonts w:ascii="Times New Roman;serif" w:hAnsi="Times New Roman;serif"/>
          <w:b w:val="false"/>
          <w:color w:val="000000"/>
          <w:sz w:val="20"/>
        </w:rPr>
        <w:t>Designs for new build construction or refurbishment projects, such as office buildings, data centers and other facilities with high energy demands.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Government.</w:t>
      </w:r>
      <w:r>
        <w:rPr>
          <w:color w:val="000000"/>
        </w:rPr>
        <w:t xml:space="preserve"> </w:t>
      </w:r>
      <w:r>
        <w:rPr>
          <w:rFonts w:ascii="Times New Roman;serif" w:hAnsi="Times New Roman;serif"/>
          <w:b w:val="false"/>
          <w:color w:val="000000"/>
          <w:sz w:val="20"/>
        </w:rPr>
        <w:t>Emergency response services for the U.S. Department of Homeland Security, including the Federal Emergency Management Agency and engineering and program management services for agencies of the Department of Defense and Department of Energy.</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Industrial.</w:t>
      </w:r>
      <w:r>
        <w:rPr>
          <w:color w:val="000000"/>
        </w:rPr>
        <w:t xml:space="preserve"> </w:t>
      </w:r>
      <w:r>
        <w:rPr>
          <w:rFonts w:ascii="Times New Roman;serif" w:hAnsi="Times New Roman;serif"/>
          <w:b w:val="false"/>
          <w:color w:val="000000"/>
          <w:sz w:val="20"/>
        </w:rPr>
        <w:t>Industrial facilities for a variety of niche end markets such as manufacturing, distribution, aviation, aerospace, communications, media, pharmaceuticals, renewable energy, chemical, and food and beverage facilities.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Urban Master Planning/Design.</w:t>
      </w:r>
      <w:r>
        <w:rPr>
          <w:color w:val="000000"/>
        </w:rPr>
        <w:t xml:space="preserve"> </w:t>
      </w:r>
      <w:r>
        <w:rPr>
          <w:rFonts w:ascii="Times New Roman;serif" w:hAnsi="Times New Roman;serif"/>
          <w:b w:val="false"/>
          <w:color w:val="000000"/>
          <w:sz w:val="20"/>
        </w:rPr>
        <w:t>Strategic planning and master planning services for new cities and major mixed-use developments in locations such as India, China, Southeast Asia, the Middle East, North Africa, the United Kingdom, and the United States.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Commercial and Leisure Facilities.</w:t>
      </w:r>
      <w:r>
        <w:rPr>
          <w:color w:val="000000"/>
        </w:rPr>
        <w:t xml:space="preserve"> </w:t>
      </w:r>
      <w:r>
        <w:rPr>
          <w:rFonts w:ascii="Times New Roman;serif" w:hAnsi="Times New Roman;serif"/>
          <w:b w:val="false"/>
          <w:color w:val="000000"/>
          <w:sz w:val="20"/>
        </w:rPr>
        <w:t>Corporate headquarters, high-rise office towers, historic buildings, hotels, leisure, sports and entertainment facilities, and corporate campuses.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Educational.</w:t>
      </w:r>
      <w:r>
        <w:rPr>
          <w:color w:val="000000"/>
        </w:rPr>
        <w:t xml:space="preserve"> </w:t>
      </w:r>
      <w:r>
        <w:rPr>
          <w:rFonts w:ascii="Times New Roman;serif" w:hAnsi="Times New Roman;serif"/>
          <w:b w:val="false"/>
          <w:color w:val="000000"/>
          <w:sz w:val="20"/>
        </w:rPr>
        <w:t>College and university campuses and other educational facilities.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Health Care.</w:t>
      </w:r>
      <w:r>
        <w:rPr>
          <w:color w:val="000000"/>
        </w:rPr>
        <w:t xml:space="preserve"> </w:t>
      </w:r>
      <w:r>
        <w:rPr>
          <w:rFonts w:ascii="Times New Roman;serif" w:hAnsi="Times New Roman;serif"/>
          <w:b w:val="false"/>
          <w:color w:val="000000"/>
          <w:sz w:val="20"/>
        </w:rPr>
        <w:t>Private and public health facilities.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Sports.</w:t>
      </w:r>
      <w:r>
        <w:rPr>
          <w:color w:val="000000"/>
        </w:rPr>
        <w:t xml:space="preserve"> </w:t>
      </w:r>
      <w:r>
        <w:rPr>
          <w:rFonts w:ascii="Times New Roman;serif" w:hAnsi="Times New Roman;serif"/>
          <w:b w:val="false"/>
          <w:color w:val="000000"/>
          <w:sz w:val="20"/>
        </w:rPr>
        <w:t>Sustainable building design for world-class sports arenas and stadiums.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Construction Management.</w:t>
      </w:r>
      <w:r>
        <w:rPr>
          <w:color w:val="000000"/>
        </w:rPr>
        <w:t xml:space="preserve"> </w:t>
      </w:r>
      <w:r>
        <w:rPr>
          <w:rFonts w:ascii="Times New Roman;serif" w:hAnsi="Times New Roman;serif"/>
          <w:b w:val="false"/>
          <w:color w:val="000000"/>
          <w:sz w:val="20"/>
        </w:rPr>
        <w:t>Program and construction management services for large scale building facility construction projects primarily in the Americas including: sports arenas, modern office and residential towers, hotels, convention centers, performance venues, aviation, and other facilities. As previously announced, the Company has commenced a review of strategic alternatives for this business, which could include a potential sale.</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Water.</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Water and Wastewater.</w:t>
      </w:r>
      <w:r>
        <w:rPr>
          <w:color w:val="000000"/>
        </w:rPr>
        <w:t xml:space="preserve"> </w:t>
      </w:r>
      <w:r>
        <w:rPr>
          <w:rFonts w:ascii="Times New Roman;serif" w:hAnsi="Times New Roman;serif"/>
          <w:b w:val="false"/>
          <w:color w:val="000000"/>
          <w:sz w:val="20"/>
        </w:rPr>
        <w:t>Treatment facilities as well as supply, distribution and collection systems, stormwater management, desalinization, and other water reuse technologies.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Water Resources.</w:t>
      </w:r>
      <w:r>
        <w:rPr>
          <w:color w:val="000000"/>
        </w:rPr>
        <w:t xml:space="preserve"> </w:t>
      </w:r>
      <w:r>
        <w:rPr>
          <w:rFonts w:ascii="Times New Roman;serif" w:hAnsi="Times New Roman;serif"/>
          <w:b w:val="false"/>
          <w:color w:val="000000"/>
          <w:sz w:val="20"/>
        </w:rPr>
        <w:t>Regional-scale floodplain mapping and analysis for public agencies, along with the analysis and development of protected groundwater resources for companies in the bottled water industry.</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Drought Response and Mitigation.</w:t>
      </w:r>
      <w:r>
        <w:rPr>
          <w:color w:val="000000"/>
        </w:rPr>
        <w:t xml:space="preserve"> </w:t>
      </w:r>
      <w:r>
        <w:rPr>
          <w:rFonts w:ascii="Times New Roman;serif" w:hAnsi="Times New Roman;serif"/>
          <w:b w:val="false"/>
          <w:color w:val="000000"/>
          <w:sz w:val="20"/>
        </w:rPr>
        <w:t>Designing water re-use and similar systems to enhance resiliency of water supply.</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Hazardous Chemicals.</w:t>
      </w:r>
      <w:r>
        <w:rPr>
          <w:color w:val="000000"/>
        </w:rPr>
        <w:t xml:space="preserve"> </w:t>
      </w:r>
      <w:r>
        <w:rPr>
          <w:rFonts w:ascii="Times New Roman;serif" w:hAnsi="Times New Roman;serif"/>
          <w:b w:val="false"/>
          <w:color w:val="000000"/>
          <w:sz w:val="20"/>
        </w:rPr>
        <w:t>Treating and addressing disposal of hazardous chemicals in water supplies and surrounding environments, such as per- and polyfluoroalkyl substances (PFAS).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Environment and Energy.</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Environmental Management.</w:t>
      </w:r>
      <w:r>
        <w:rPr>
          <w:color w:val="000000"/>
        </w:rPr>
        <w:t xml:space="preserve"> </w:t>
      </w:r>
      <w:r>
        <w:rPr>
          <w:rFonts w:ascii="Times New Roman;serif" w:hAnsi="Times New Roman;serif"/>
          <w:b w:val="false"/>
          <w:color w:val="000000"/>
          <w:sz w:val="20"/>
        </w:rPr>
        <w:t>Waste handling, testing and monitoring of environmental conditions, and environmental construction management.</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Remediation.</w:t>
      </w:r>
      <w:r>
        <w:rPr>
          <w:color w:val="000000"/>
        </w:rPr>
        <w:t xml:space="preserve"> </w:t>
      </w:r>
      <w:r>
        <w:rPr>
          <w:rFonts w:ascii="Times New Roman;serif" w:hAnsi="Times New Roman;serif"/>
          <w:b w:val="false"/>
          <w:color w:val="000000"/>
          <w:sz w:val="20"/>
        </w:rPr>
        <w:t>Restoring and remediating natural habitats, such as in response to industrial activity related to closed or abandoned mines.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Permitting and Community Engagement.</w:t>
      </w:r>
      <w:r>
        <w:rPr>
          <w:color w:val="000000"/>
        </w:rPr>
        <w:t xml:space="preserve"> </w:t>
      </w:r>
      <w:r>
        <w:rPr>
          <w:rFonts w:ascii="Times New Roman;serif" w:hAnsi="Times New Roman;serif"/>
          <w:b w:val="false"/>
          <w:color w:val="000000"/>
          <w:sz w:val="20"/>
        </w:rPr>
        <w:t>Advancing client projects through permitting processes, including implementation of innovative online engagement platforms, such as PlanEngage</w:t>
      </w:r>
      <w:r>
        <w:rPr>
          <w:rFonts w:ascii="Times New Roman;serif" w:hAnsi="Times New Roman;serif"/>
          <w:b w:val="false"/>
          <w:color w:val="000000"/>
          <w:sz w:val="13"/>
        </w:rPr>
        <w:t>TM</w:t>
      </w:r>
      <w:r>
        <w:rPr>
          <w:rFonts w:ascii="Times New Roman;serif" w:hAnsi="Times New Roman;serif"/>
          <w:b w:val="false"/>
          <w:color w:val="000000"/>
          <w:sz w:val="20"/>
        </w:rPr>
        <w:t>.</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Demand Side Management.</w:t>
      </w:r>
      <w:r>
        <w:rPr>
          <w:color w:val="000000"/>
        </w:rPr>
        <w:t xml:space="preserve"> </w:t>
      </w:r>
      <w:r>
        <w:rPr>
          <w:rFonts w:ascii="Times New Roman;serif" w:hAnsi="Times New Roman;serif"/>
          <w:b w:val="false"/>
          <w:color w:val="000000"/>
          <w:sz w:val="20"/>
        </w:rPr>
        <w:t>Public K-12 schools and universities, health care facilities, and courthouses and other public buildings, as well as energy conservation systems for utilities.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Transmission and Distribution.</w:t>
      </w:r>
      <w:r>
        <w:rPr>
          <w:color w:val="000000"/>
        </w:rPr>
        <w:t xml:space="preserve"> </w:t>
      </w:r>
      <w:r>
        <w:rPr>
          <w:rFonts w:ascii="Times New Roman;serif" w:hAnsi="Times New Roman;serif"/>
          <w:b w:val="false"/>
          <w:color w:val="000000"/>
          <w:sz w:val="20"/>
        </w:rPr>
        <w:t>Power stations and electric transmissions and distribution and cogeneration systems.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i/>
          <w:color w:val="000000"/>
          <w:sz w:val="20"/>
        </w:rPr>
        <w:t>Alternative/Renewable Energy.</w:t>
      </w:r>
      <w:r>
        <w:rPr>
          <w:color w:val="000000"/>
        </w:rPr>
        <w:t xml:space="preserve"> </w:t>
      </w:r>
      <w:r>
        <w:rPr>
          <w:rFonts w:ascii="Times New Roman;serif" w:hAnsi="Times New Roman;serif"/>
          <w:b w:val="false"/>
          <w:color w:val="000000"/>
          <w:sz w:val="20"/>
        </w:rPr>
        <w:t>Production facilities such as ethanol plants, onshore and offshore wind farms, hydroelectric power, dams, flood control systems and geothermal subsections of regional power grids.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Program Management –</w:t>
      </w:r>
      <w:r>
        <w:rPr>
          <w:color w:val="000000"/>
        </w:rPr>
        <w:t xml:space="preserve"> </w:t>
      </w:r>
      <w:r>
        <w:rPr>
          <w:rFonts w:ascii="Times New Roman;serif" w:hAnsi="Times New Roman;serif"/>
          <w:b w:val="false"/>
          <w:color w:val="000000"/>
          <w:sz w:val="20"/>
        </w:rPr>
        <w:t>We integrate the complexity of large-scale programs and projects through tailored approaches, proven methodologies, and multidisciplinary solutions to deliver transformative outcomes for our clients and the communities they serve, including:</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Megacity development.</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Transformational transportation infrastructure, such as high-speed rail.</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Aviation.</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Environmental remediation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Energy and grid infrastructure.</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Water supply systems.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Advisory –</w:t>
      </w:r>
      <w:r>
        <w:rPr>
          <w:color w:val="000000"/>
        </w:rPr>
        <w:t xml:space="preserve"> </w:t>
      </w:r>
      <w:r>
        <w:rPr>
          <w:rFonts w:ascii="Times New Roman;serif" w:hAnsi="Times New Roman;serif"/>
          <w:b w:val="false"/>
          <w:color w:val="000000"/>
          <w:sz w:val="20"/>
        </w:rPr>
        <w:t>We provide expertise driven advisory services to infrastructure clients through the development of high-value strategies blending strategic direction with real-world expertise and deep collaboration, including:</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 xml:space="preserve">Digital Water Advisory and Consulting. </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Emerging Contaminants.</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Resource Management.</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 xml:space="preserve">Asset Management. </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 xml:space="preserve">Water Supply Optimization. </w:t>
      </w:r>
    </w:p>
    <w:p>
      <w:pPr>
        <w:pStyle w:val="TextBody"/>
        <w:bidi w:val="0"/>
        <w:spacing w:lineRule="auto" w:line="288" w:before="0" w:after="240"/>
        <w:ind w:left="0" w:right="0" w:hanging="331"/>
        <w:jc w:val="both"/>
        <w:rPr/>
      </w:pPr>
      <w:r>
        <w:rPr>
          <w:color w:val="000000"/>
        </w:rPr>
        <w:t>•</w:t>
      </w:r>
      <w:r>
        <w:rPr>
          <w:rFonts w:ascii="Times New Roman;serif" w:hAnsi="Times New Roman;serif"/>
          <w:b w:val="false"/>
          <w:color w:val="000000"/>
          <w:sz w:val="20"/>
        </w:rPr>
        <w:t>Environmental Consulting.</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AECOM Capital Segment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ACAP typically partners with investors and experienced developers as co-general partners. These partnerships may, but are not required to, enter into contracts with our other AECOM affiliates to provide design, owners engineer, construction management, development and operations and maintenance services for ACAP funded projects. ACAP development activity is conducted through joint ventures or subsidiaries that may be consolidated or unconsolidated for financial reporting purposes depending on the extent and nature of our ownership interest. In addition, in connection with the investment activities of ACAP, AECOM or an affiliate may provide guarantees of certain financial obligations, including guarantees for completion of projects, repayment of debt, environmental indemnity obligations, and other lender required guarantees. ACAP has focused on investing in co-general partner equity opportunities with high quality partners, primarily targeting “build-to-core” investments in the top U.S. markets across all property types.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a transaction that transitioned the AECOM Capital team to a new third-party platform in the third quarter of fiscal 2024. Members of the legacy team continue to support AECOM Capital's investment vehicles pursuant to certain advisory agreements in a manner consistent with their historical responsibilities.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Thinking and Acting Globally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AECOM is at its best when we think and act globally. Our strategy is focused on setting a new standard of excellence in the professional services industry. First, our operating structure promotes greater connectivity and collaboration across our seven regions and six global business lines. We drive growth by prioritizing our core markets, leaning into our greatest strengths and ensuring our best talent and resources are focused on nurturing client relationships. We are transforming the way we deliver work through technology and digital platforms improving the client experience and increasing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3581400" cy="23812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3581400" cy="2381250"/>
                    </a:xfrm>
                    <a:prstGeom prst="rect">
                      <a:avLst/>
                    </a:prstGeom>
                  </pic:spPr>
                </pic:pic>
              </a:graphicData>
            </a:graphic>
          </wp:inline>
        </w:drawing>
      </w:r>
      <w:bookmarkStart w:id="2" w:name="i-3"/>
      <w:bookmarkEnd w:id="2"/>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asset is our employees and large percentages of our employees have technical and professional backgrounds and undergraduate and/or advanced degrees. At the end of our fiscal 2025, we employed approximately 51,000 persons, of whom approximately 18,000 were employed in the United States. Over 200 of our domestic employees are covered by collective bargaining agreements or by specific labor agreements, which expire upon completion of the relevant project. We believe that the quality and level of service that our professionals deliver are among the highest in our industry.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committed to enhancing our position as a leading employer in our industry by attracting and retaining the best technical professionals in the world. Critical to our continued success is our ability to offer a compelling employee value proposition that promises competitive pay and benefits, an inclusive environment that supports flexibility and well-being and encourages collaboration and innovation, and a shared commitment to technical excellence, continuous learning and career growth. Through our Thrive with AECOM program, we are focused on fostering an inclusive environment within AECOM and beyond by building diverse talent, expanding understanding, enriching communities and thinking without limits. This understanding informs our approach to managing our human capital resources. Our human capital objectives and initiatives are overseen by our Board as per our Corporate Governance Guidelines.</w:t>
      </w:r>
    </w:p>
    <w:p>
      <w:pPr>
        <w:pStyle w:val="TextBody"/>
        <w:bidi w:val="0"/>
        <w:spacing w:lineRule="auto" w:line="288" w:before="0" w:after="240"/>
        <w:ind w:left="0" w:right="0" w:firstLine="720"/>
        <w:jc w:val="both"/>
        <w:rPr/>
      </w:pPr>
      <w:r>
        <w:rPr>
          <w:rFonts w:ascii="Times New Roman;serif" w:hAnsi="Times New Roman;serif"/>
          <w:b/>
          <w:i/>
          <w:color w:val="000000"/>
          <w:sz w:val="20"/>
        </w:rPr>
        <w:t>Health and Safety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Core to our corporate values is safeguarding our people and fostering a culture of caring that promotes the wellbeing of our employees, contractors and business partners. We safeguard our people, projects and reputation by striving for zero employee injuries and illnesses, while operating and delivering our work responsibly and sustainably. We maintain our industry’s best-in-class lost workday case and recordable incident rates, and our safety performance is consistently recognized by key clients across the regions where we work as well as by recognized safety organizations. We have taken and will continue to take critical steps to keep our people, clients and communities safe, including any necessary actions in response to local and global health crises.</w:t>
      </w:r>
    </w:p>
    <w:p>
      <w:pPr>
        <w:pStyle w:val="TextBody"/>
        <w:bidi w:val="0"/>
        <w:spacing w:lineRule="auto" w:line="288" w:before="0" w:after="240"/>
        <w:ind w:left="0" w:right="0" w:firstLine="720"/>
        <w:jc w:val="both"/>
        <w:rPr/>
      </w:pPr>
      <w:r>
        <w:rPr>
          <w:rFonts w:ascii="Times New Roman;serif" w:hAnsi="Times New Roman;serif"/>
          <w:b/>
          <w:i/>
          <w:color w:val="000000"/>
          <w:sz w:val="20"/>
        </w:rPr>
        <w:t>Freedom to Grow</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Freedom to Grow is our global framework designed to support employees in finding the balance and flexibility they need to be their best and deliver for clients, and a key factor in our ability to attract and retain talent. Employees and managers can evaluate work schedules and locations and align on an arrangement that prioritizes client and team responsibilities while supporting individual needs and includes three days a week in the office or at project sites as an expectation. Our Freedom to Grow program goes far beyond just when and where we work. We consider our people’s holistic experience, respecting diversity in work, communication and thinking styles.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4524375" cy="30099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524375" cy="3009900"/>
                    </a:xfrm>
                    <a:prstGeom prst="rect">
                      <a:avLst/>
                    </a:prstGeom>
                  </pic:spPr>
                </pic:pic>
              </a:graphicData>
            </a:graphic>
          </wp:inline>
        </w:drawing>
      </w:r>
      <w:bookmarkStart w:id="3" w:name="i-4"/>
      <w:bookmarkEnd w:id="3"/>
    </w:p>
    <w:p>
      <w:pPr>
        <w:pStyle w:val="TextBody"/>
        <w:bidi w:val="0"/>
        <w:spacing w:lineRule="auto" w:line="288" w:before="0" w:after="240"/>
        <w:ind w:left="0" w:right="0" w:firstLine="720"/>
        <w:jc w:val="both"/>
        <w:rPr/>
      </w:pPr>
      <w:r>
        <w:rPr>
          <w:rFonts w:ascii="Times New Roman;serif" w:hAnsi="Times New Roman;serif"/>
          <w:b/>
          <w:i/>
          <w:color w:val="000000"/>
          <w:sz w:val="20"/>
        </w:rPr>
        <w:t>Technical and professional development.</w:t>
      </w:r>
      <w:r>
        <w:rPr>
          <w:color w:val="000000"/>
        </w:rPr>
        <w:t xml:space="preserve"> </w:t>
      </w:r>
      <w:r>
        <w:rPr>
          <w:rFonts w:ascii="Times New Roman;serif" w:hAnsi="Times New Roman;serif"/>
          <w:b w:val="false"/>
          <w:color w:val="000000"/>
          <w:sz w:val="20"/>
        </w:rPr>
        <w:t>Technical excellence is the foundation of our competitive advantage—it’s how we harness the power of our teams’ technical skills and expertise to deliver high quality solutions for clients and communities we serve. We strive to be home to our industry’s best technical minds — professionals who thrive in an environment that encourages their collaboration and innovation and celebrates great project and client outcomes.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invested in a robust learning ecosystem that keeps our employees project-ready with ‘on the job’ technical training, future-ready with new digital tools, thought leadership and programs that inspire innovation, and globally connected within their technical practice and strategic partnerships.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online learning platform, AECOM University, delivers high-quality and personalized learning experiences, including our Global Technical Academies. Created by us for us, Academies deliver structured and self-directed technical training courses on key global topics, practices and markets that are relevant to our business. Our Technical Practice Network connects professionals every day in a global online community to enable networking, collaboration and problem solving.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full range of professional development programs, called Leadership at all Levels, enhance business and leadership skills. From early career and graduate programs, to practical manager training, and executive coaching and leadership development, we are supporting development at every career level. These programs are based on our four pillars of Leadership Capabilities, which outline the behaviors we want our leaders to demonstrate and exemplify for the collective success as an organization.</w:t>
      </w:r>
    </w:p>
    <w:p>
      <w:pPr>
        <w:pStyle w:val="TextBody"/>
        <w:bidi w:val="0"/>
        <w:spacing w:lineRule="auto" w:line="288" w:before="0" w:after="240"/>
        <w:ind w:left="0" w:right="0" w:firstLine="720"/>
        <w:jc w:val="both"/>
        <w:rPr/>
      </w:pPr>
      <w:r>
        <w:rPr>
          <w:rFonts w:ascii="Times New Roman;serif" w:hAnsi="Times New Roman;serif"/>
          <w:b/>
          <w:i/>
          <w:color w:val="000000"/>
          <w:sz w:val="20"/>
        </w:rPr>
        <w:t>Purpose and impact</w:t>
      </w:r>
      <w:r>
        <w:rPr>
          <w:rFonts w:ascii="Times New Roman;serif" w:hAnsi="Times New Roman;serif"/>
          <w:b w:val="false"/>
          <w:color w:val="000000"/>
          <w:sz w:val="20"/>
        </w:rPr>
        <w:t>. Our purpose of delivering a better world is at the core of all that we do. As the world’s trusted infrastructure consulting firm, we are determined and well-positioned to deliver positive, impactful and Sustainable Legacies for our company, our communities and our planet. Through our projects and our operations, we have both a significant opportunity and a responsibility to protect, enhance and restore the world’s natural and social systems. Through strategic nonprofit partnerships, pro-bono work, skills-based volunteering and philanthropy, our corporate responsibility platform is focused on delivering access to safe and secure infrastructure to those who need it most, creating opportunity for the leaders of tomorrow and protecting our planet so that our company can fulfill its purpose to deliver a better world. As part of our pro-bono program, our technical experts partnered with nonprofit organizations in their local communities to provide critical design, engineering and infrastructure solutions. We maintain an internal Global Sustainable Legacies Council focused on executing on our purpose and ensuring that our actions are as strong as our policies.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Clients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clients consist primarily of national, state, regional and local governments, public and private institutions and major corporations. The following table sets forth our total revenue attributable to these categories of clients for each of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87"/>
        <w:gridCol w:w="761"/>
        <w:gridCol w:w="765"/>
        <w:gridCol w:w="211"/>
        <w:gridCol w:w="871"/>
        <w:gridCol w:w="109"/>
        <w:gridCol w:w="109"/>
        <w:gridCol w:w="109"/>
        <w:gridCol w:w="109"/>
        <w:gridCol w:w="232"/>
        <w:gridCol w:w="234"/>
        <w:gridCol w:w="271"/>
        <w:gridCol w:w="109"/>
        <w:gridCol w:w="109"/>
        <w:gridCol w:w="109"/>
        <w:gridCol w:w="211"/>
        <w:gridCol w:w="871"/>
        <w:gridCol w:w="109"/>
        <w:gridCol w:w="109"/>
        <w:gridCol w:w="109"/>
        <w:gridCol w:w="109"/>
        <w:gridCol w:w="232"/>
        <w:gridCol w:w="234"/>
        <w:gridCol w:w="271"/>
        <w:gridCol w:w="109"/>
        <w:gridCol w:w="109"/>
        <w:gridCol w:w="109"/>
        <w:gridCol w:w="211"/>
        <w:gridCol w:w="871"/>
        <w:gridCol w:w="109"/>
        <w:gridCol w:w="109"/>
        <w:gridCol w:w="109"/>
        <w:gridCol w:w="109"/>
        <w:gridCol w:w="232"/>
        <w:gridCol w:w="234"/>
        <w:gridCol w:w="271"/>
        <w:gridCol w:w="109"/>
        <w:gridCol w:w="109"/>
        <w:gridCol w:w="155"/>
      </w:tblGrid>
      <w:tr>
        <w:trPr/>
        <w:tc>
          <w:tcPr>
            <w:tcW w:w="88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br/>
              <w:t>($ in millions)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Government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 Governments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Governments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Entities (worldwide)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single client accounted for 10% or more of our revenue in any of the past five fiscal years. Approximately 7%, 7%, and 5% of our revenue was derived through direct contracts with agencies of the U.S. federal government in the years ended September 30, 2025, 2024, and 2023, respectively.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 provisions of the contracts we undertake can be grouped into several broad categories: cost-reimbursable contracts, guaranteed maximum price contracts, and fixed-price contracts. For the year ended September 30, 2025, our revenue was comprised of 38%, 37%, and 25% cost-reimbursable, guaranteed maximum price, and fixed-price contracts, respectively.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Cost-Reimbursable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Cost-reimbursable contracts include cost-plus fixed fee, cost-plus fixed rate, and time-and-materials price contracts. Under cost-plus contracts, we charge clients for our costs, including both direct and indirect costs, plus a negotiated fee or rate. We recognize revenues based on actual direct costs incurred and the applicable fixed rate or portion of the fixed fee earned as of the balance sheet date. Under time-and-materials price contracts, we negotiate hourly billing rates and charge clients based on the actual time we expend on the project. In addition, clients reimburse us for materials and other direct incidental expenditures, including payments to subcontractors, incurred in connection with our performance under the contract. We may apply a practical expedient to recognize revenue in the amount in which we have the right to invoice if our right to consideration is equal to the value of performance completed to date. Time-and-material price contracts may also have a fixed-price element in the form of not-to-exceed or guaranteed maximum price provisions.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cost-plus contracts provide for award fees or a penalty based on performance criteria in lieu of a fixed fee or fixed rate. Other contracts include a base fee component plus a performance-based award fee. In addition, we may share award fees with subcontractors. We generally recognize revenue to the extent of costs actually incurred plus a proportionate amount of the fee expected to be earned. We take the award fee or penalty on contracts into consideration when estimating revenue and profit rates, and record revenue related to the award fees when there is sufficient information to assess anticipated contract performance and a significant reversal of the award fee is not probable. Once an award is received, the estimated or accrued fees are adjusted to the actual award amount.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cost-plus contracts provide for incentive fees based on performance against contractual milestones. The amount of the incentive fees varies, depending on whether we achieve above, at, or below target results. We originally recognize revenue on these contracts based upon expected results. These estimates are revised when necessary based upon additional information that becomes available as the contract progresses.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Guaranteed Maximum Price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Guaranteed maximum price (GMP) contracts share many of the same contract provisions as cost-plus and fixed-price contracts. As with cost-plus contracts, clients are provided a disclosure of all project costs, and a lump sum percentage fee is separately identified. We provide clients with a guaranteed price for the overall project (adjusted for change orders issued by clients) and a schedule including the expected completion date. Cost overruns or costs associated with project delays in completion could be our responsibility. For many of our GMP contracts, the final price is generally not established until we have subcontracted a substantial percentage of the trade contracts with terms consistent with the master contract, and we have negotiated additional contract limitations, such as waivers of consequential damages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aggregate caps on liabilities and liquidated damages. Revenue is recognized for GMP contracts as project costs are incurred relative to total estimated project costs.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Fixed-Price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Fixed-price contracts include both lump-sum and fixed-unit price contracts. Under lump-sum contracts, we perform all the work under the contract for a specified fee. Lump-sum contracts are typically subject to price adjustments if the scope of the project changes or unforeseen conditions arise. Under fixed-unit price contracts, we perform a number of units of work at an agreed price per unit with the total payment under the contract determined by the actual number of units delivered. Revenue is recognized for fixed-price contracts using the input method measured on a cost-to-cost basis as the Company believes this is the best measure of progress towards completion.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fixed-price contracts require us to provide surety bonds or parent company guarantees to assure our clients that their project will be completed in accordance with the terms of the contracts as further disclosed in Note 18—Commitments and Contingencies. In such cases, we may require our primary subcontractors to provide similar performance bonds and guarantees and to be adequately insured, and we may flow down the terms and conditions set forth in our agreement on to our subcontractors. There may be risks associated with completing these projects profitably if we are not able to perform our services within the fixed-price contract terms.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Joint Ventures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larger contracts may operate under joint ventures or other arrangements under which we team with other reputable companies, typically companies with which we have worked for many years. This is often done where the scale of the project dictates such an arrangement or when we want to strengthen either our market position or our technical skills.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Backlog represents revenue we expect to realize for work completed by our consolidated subsidiaries and our proportionate share of work to be performed by unconsolidated joint ventures. Backlog is expressed in terms of gross revenue and, therefore, may include significant estimated amounts of third party or pass-through costs to subcontractors and other parties. We report transaction price allocated to remaining unsatisfied performance obligations (RUPO) of $19.7 billion, as described in Note 4, Revenue Recognition, in the notes to our consolidated financial statements. The most significant differences between our backlog and RUPO are backlog contains revenue we expect to record in the future where we have been awarded the work, but the contractual agreement has not yet been signed and revenue related to service contracts that extend beyond the termination provision of those contracts, where RUPO requires us to assume the contract will be terminated at its earliest convenience. Accordingly, RUPO is $20.0 billion lower than backlog. For non-government contracts, our backlog includes future revenue at contract rates, excluding contract renewals or extensions that are at the discretion of the client. For contracts with a not-to-exceed maximum amount, we include revenue from such contracts in backlog to the extent of the remaining estimated amount. We calculate backlog without regard to possible project reductions or expansions or potential cancellations until such changes or cancellations occur. No assurance can be given that we will ultimately realize our full backlog. Backlog fluctuates due to the timing of when contracts are awarded and contracted and when contract revenue is recognized. Many of our contracts require us to provide services over more than one year. Our backlog for the year ended September 30, 2025 increased $2.3 billion, or 6.1%, to $39.7 billion as compared to $37.4 billion for the corresponding period last year, primarily due to a increase in our Americas Construction Management business.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backlog (in billions):</w:t>
      </w:r>
    </w:p>
    <w:tbl>
      <w:tblPr>
        <w:tblW w:w="3923" w:type="dxa"/>
        <w:jc w:val="center"/>
        <w:tblInd w:w="0" w:type="dxa"/>
        <w:tblLayout w:type="fixed"/>
        <w:tblCellMar>
          <w:top w:w="28" w:type="dxa"/>
          <w:left w:w="28" w:type="dxa"/>
          <w:bottom w:w="28" w:type="dxa"/>
          <w:right w:w="28" w:type="dxa"/>
        </w:tblCellMar>
      </w:tblPr>
      <w:tblGrid>
        <w:gridCol w:w="684"/>
        <w:gridCol w:w="600"/>
        <w:gridCol w:w="605"/>
        <w:gridCol w:w="211"/>
        <w:gridCol w:w="511"/>
        <w:gridCol w:w="109"/>
        <w:gridCol w:w="109"/>
        <w:gridCol w:w="109"/>
        <w:gridCol w:w="109"/>
        <w:gridCol w:w="211"/>
        <w:gridCol w:w="51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September 30, </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markets we serve are highly fragmented and we compete with a large number of regional, national and international companies. We have numerous competitors, ranging from small private firms to multi-billion dollar companies, some of which have greater financial resources or that are more specialized and concentrate their resources in particular areas of expertise. The extent of our competition varies according to the particular markets and geographic area. The degree and type of competition we face is also influenced by the type and scope of a particular project. The technical and professional aspects of our services generally do not require large upfront capital expenditures and, therefore, provide limited barriers against new competitors.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we are well positioned to compete in our markets because of our reputation, our cost effectiveness, our long-term client relationships, our extensive network of offices, our employee expertise, and our broad range of services. In addition, as a result of our extensive national and international network, we are able to offer our clients localized knowledge and expertise, as well as the support of our worldwide professional staff. In addition, through investments in technology and innovation, we are able to bring advanced solutions to clients.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experience seasonal trends in our business. Our revenue is typically higher in the last half of the fiscal year. The fourth quarter of our fiscal year (July 1 to September 30) is typically our strongest quarter. We find that the U.S. federal government tends to authorize more work during the period preceding the end of our fiscal year, September 30. In addition, many U.S. state governments with fiscal years ending on June 30 tend to accelerate spending during their first quarter, when new funding becomes available. Further, our construction management revenue typically increases during the summer months when weather and daylight hours are more conducive to outdoor activities. Within the United States, as well as other parts of the world, our business generally benefits from milder weather conditions in our fiscal fourth quarter. Our construction and project management services also typically expand during the summer months when weather and daylight hours are more conducive to outdoor activities. The first quarter of our fiscal year (October 1 to December 31) is typically our lowest revenue quarter. The harsher weather conditions impact our ability to complete work in parts of North America and the holiday season schedule affects our productivity during this period. For these reasons, coupled with the number and significance of client contracts commenced and completed during a particular period, as well as the timing of expenses incurred for corporate initiatives, it is not unusual for us to experience seasonal changes or fluctuations in our quarterly operating results.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 Management and Insurance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management is an integral part of our project management approach and our project execution process. We have an Office of Risk Management that reviews and oversees the risk profile of our operations through a tiered process of formal risk committees with the highest-risk pursuits subject to vetting at each tier. Following contract execution, and commencement of delivery, projects are monitored via a formal monthly or quarterly project-review process designed to ensure project performance and risk mitigation. Also, pursuant to our internal delegations of authority, a group of senior members of our risk management team evaluates risk through internal risk analyses of higher-risk projects, contracts or other business decisions. We maintain insurance covering professional liability and claims involving bodily injury and property damage, among other coverages. Wherever possible, we endeavor to eliminate or reduce the risk of loss on a project through the use of quality assurance/control, risk management, workplace safety and similar methods.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Regulations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impacted by environmental, health and safety, government procurement, anti-bribery and other government regulations and requirements. Below is a summary of some of the significant regulations that impact our business.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Environmental, Health and Safety.</w:t>
      </w:r>
      <w:r>
        <w:rPr>
          <w:color w:val="000000"/>
        </w:rPr>
        <w:t xml:space="preserve"> </w:t>
      </w:r>
      <w:r>
        <w:rPr>
          <w:rFonts w:ascii="Times New Roman;serif" w:hAnsi="Times New Roman;serif"/>
          <w:b w:val="false"/>
          <w:color w:val="000000"/>
          <w:sz w:val="20"/>
        </w:rPr>
        <w:t>Our business involves the planning, design, program management, construction management, and operations and maintenance at various project sites, including, but not limited to, nuclear facilities, hazardous waste and Superfund sites, hydrocarbon production, distribution and transport sites, and other infrastructure-related facilities. We also regularly perform work in and around sensitive environmental areas, such as rivers, lakes and wetlands.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fines, penalties and other sanctions may be imposed for non-compliance with environmental and health and safety laws and regulations, and some laws provide for joint and several strict liabilities for remediation of releases of hazardous substances, rendering a person liable for environmental damage, without regard to negligence or 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the part of such person. These laws and regulations may expose us to liability arising out of the conduct of operations or conditions caused by others, or for our acts that were in compliance with all applicable laws at the time these acts were performed. For example, there are a number of governmental laws that strictly regulate the handling, removal, treatment, transportation and disposal of toxic and hazardous substances, such as the Comprehensive Environmental Response Compensation and Liability Act of 1980, and comparable national and state laws, that impose strict, joint and several liabilities for the entire cost of cleanup, without regard to whether a company knew of or caused the release of hazardous substances. In addition, some environmental regulations can impose liability for the entire clean-up upon owners, operators, generators, transporters and other persons arranging for the treatment or disposal of such hazardous substances related to contaminated facilities or project sites. Other federal environmental, health and safety laws affecting us include, but are not limited to, the Resource Conservation and Recovery Act, the National Environmental Policy Act, the Clean Air Act, the Clean Air Mercury Rule, the Occupational Safety and Health Act, the Toxic Substances Control Act, and the Superfund Amendments and Reauthorization Act, as well as other comparable national and state laws. Liabilities related to environmental contamination or human exposure to hazardous substances, comparable national and state laws or a failure to comply with applicable regulations could result in substantial costs to us, including cleanup costs, fines and civil or criminal sanctions, third-party claims for property damage or personal injury, or cessation of remediation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business operations are covered by Public Law 85-804, which provides for indemnification by the U.S. federal government against claims and damages arising out of unusually hazardous or nuclear activities performed at the request of the U.S. federal government. Should public policies and laws change, however, U.S. federal government indemnification may not be available in the case of any future claims or liabilities relating to hazardous activities that we undertake to perform.</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Government Procurement.</w:t>
      </w:r>
      <w:r>
        <w:rPr>
          <w:color w:val="000000"/>
        </w:rPr>
        <w:t xml:space="preserve"> </w:t>
      </w:r>
      <w:r>
        <w:rPr>
          <w:rFonts w:ascii="Times New Roman;serif" w:hAnsi="Times New Roman;serif"/>
          <w:b w:val="false"/>
          <w:color w:val="000000"/>
          <w:sz w:val="20"/>
        </w:rPr>
        <w:t>The services we provide to the U.S. federal government are subject to Federal Acquisition Regulation, the Truth in Negotiations Act, Cost Accounting Standards, the Services Contract Act, False Claims Act, export controls rules and Department of Defense (DOD) security regulations, as well as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Our government clients can also terminate, renegotiate, or modify any of their contracts with us at their convenience; and many of our government contracts are subject to renewal or extension annually.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Anti-Bribery and other regulations.</w:t>
      </w:r>
      <w:r>
        <w:rPr>
          <w:color w:val="000000"/>
        </w:rPr>
        <w:t xml:space="preserve"> </w:t>
      </w:r>
      <w:r>
        <w:rPr>
          <w:rFonts w:ascii="Times New Roman;serif" w:hAnsi="Times New Roman;serif"/>
          <w:b w:val="false"/>
          <w:color w:val="000000"/>
          <w:sz w:val="20"/>
        </w:rPr>
        <w:t>We are subject to the U.S. Foreign Corrupt Practices Act, the U.K. Bribery Act of 2010, and similar anti-bribery laws, which generally prohibit companies and their intermediaries from making improper payments to foreign government officials for the purpose of obtaining or retaining business. To the extent we export technical services, data and products outside of the U.S., we are subject to U.S. and international laws and regulations governing international trade and exports, including, but not limited to, the International Traffic in Arms Regulations, the Export Administration Regulations, and trade sanctions against embargoed countries. We provide services to the DOD and other defense-related entities that often require specialized professional qualifications and security clearances. In addition, as engineering design services professionals, we are subject to a variety of local, state, federal, and foreign licensing and permit requirements and ethics rules.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Raw Materials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purchase most of the raw materials and components necessary to operate our business from numerous sources. However, the price and availability of raw materials and components may vary from year to year due to customer demand, production capacity, market conditions, and material shortages. While we do not currently foresee the lack of availability of any particular raw materials in the near term, prolonged unavailability of raw materials necessary to our projects and services or significant price increases for those raw materials could have a material adverse effect on our business in the near term.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Government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our government contracts are subject to renegotiation or termination of contracts or subcontracts at the discretion of the U.S. federal, state or local governments, and national governments of other countries.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Trade Secrets and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principally on trade secrets, confidentiality policies and other contractual arrangements to protect much of our intellectual property.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reports we file with the Securities and Exchange Commission, including annual reports on Form 10-K, quarterly reports on Form 10-Q, current reports on Form 8-K and proxy materials, including any amendments, are available free of charge on our website at </w:t>
      </w:r>
      <w:r>
        <w:rPr>
          <w:rFonts w:ascii="Times New Roman;serif" w:hAnsi="Times New Roman;serif"/>
          <w:b w:val="false"/>
          <w:i/>
          <w:color w:val="000000"/>
          <w:sz w:val="20"/>
        </w:rPr>
        <w:t>www.aecom.com</w:t>
      </w:r>
      <w:r>
        <w:rPr>
          <w:color w:val="000000"/>
        </w:rPr>
        <w:t xml:space="preserve"> </w:t>
      </w:r>
      <w:r>
        <w:rPr>
          <w:rFonts w:ascii="Times New Roman;serif" w:hAnsi="Times New Roman;serif"/>
          <w:b w:val="false"/>
          <w:color w:val="000000"/>
          <w:sz w:val="20"/>
        </w:rPr>
        <w:t xml:space="preserve">as soon as reasonably practicable after we electronically file such material with or furnish it to the SEC. The SEC also maintains a website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 xml:space="preserve">containing reports, proxy and information statements, and other information that we file with the SEC. Our Corporate Governance Guidelines and our Code of Ethics are available on our website at </w:t>
      </w:r>
      <w:r>
        <w:rPr>
          <w:rFonts w:ascii="Times New Roman;serif" w:hAnsi="Times New Roman;serif"/>
          <w:b w:val="false"/>
          <w:i/>
          <w:color w:val="000000"/>
          <w:sz w:val="20"/>
        </w:rPr>
        <w:t>www.aecom.com</w:t>
      </w:r>
      <w:r>
        <w:rPr>
          <w:color w:val="000000"/>
        </w:rPr>
        <w:t xml:space="preserve"> </w:t>
      </w:r>
      <w:r>
        <w:rPr>
          <w:rFonts w:ascii="Times New Roman;serif" w:hAnsi="Times New Roman;serif"/>
          <w:b w:val="false"/>
          <w:color w:val="000000"/>
          <w:sz w:val="20"/>
        </w:rPr>
        <w:t>under the “Investors” section. However, our website and any content thereof should not be considered to be incorporated by reference into this document. Copies of the information identified above may be obtained without charge from us by writing to AECOM, 13355 Noel Road, Suite 400, Dallas, Texas 75240, Attention: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We operate in a changing global environment that involves numerous known and unknown risks and uncertainties that could materially adversely affect our operations. The risks described below highlight some of the factors that have affected, and in the future could affect our operations. Additional risks we do not yet know of or that we currently believe are immaterial may also affect our business operations. If any of the events or circumstances described in the following risks actually occurs, our business, financial condition or results of operations could be materially adversely affected.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Our Markets, Customers and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industry is highly competitive, and we may be unable to compete effectively, which could result in reduced revenue, profitability and market share.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engaged in a highly competitive business. The markets we serve are highly fragmented and we compete with a large number of regional, national and international companies. These competitors may have greater financial and other resources than we do. Others are smaller and more specialized, and concentrate their resources in particular areas of expertise. The extent of our competition varies according to the particular markets and geographic area. In addition, the technical and professional aspects of some of our services generally do not require large upfront capital expenditures and provide limited barriers against new competitors.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and type of competition we face is also influenced by the type and scope of a particular project. Our clients make competitive determinations based upon qualifications, experience, performance, reputation, technology, customer relationships, price and ability to provide the relevant services in a timely, safe and cost-efficient manner. Increased competition may result in our inability to win bids for future projects, increased margin pressure and loss of revenue, profitability and market share.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compete in our industry will be harmed if we do not retain the continued services of our senior management and key technical personnel.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heavily upon the expertise and leadership of our people. There is strong competition for qualified technical and management personnel in the sectors in which we compete. We may not be able to continue to attract and retain qualified technical and management personnel, such as engineers, architects and project managers, who are necessary for the development of our business or to replace qualified personnel in the timeframe demanded by our clients. Also, some of our personnel hold government granted eligibility that may be required to obtain government projects. Loss of the services of, or failure to recruit, senior management or key technical personnel could impact the long-term performance of the Company and limit our ability to successfully complete existing projects and compete for new projects.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Demand for our services is cyclical and vulnerable to sudden economic downturns and reductions in government and private industry spending. If economic conditions remain uncertain and/or weaken, our revenue and profitability could be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is cyclical and may be vulnerable to sudden economic downturns, interest rate fluctuations and reductions in government and private industry spending that result in clients delaying, curtailing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canceling proposed and existing projects. Where economies are weakening, our clients may demand more favorable pricing or other terms while their ability to pay our invoices or to pay them in a timely manner may be adversely affected. Our government clients may face budget deficits that prohibit them from funding proposed and existing projects. If economic conditions remain uncertain and/or weaken and/or government spending is reduced, our revenue and profitability could be materially adversely affected.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long-term government contracts, some of which are only funded on an annual basis. If appropriations for funding are not made in subsequent years of a multiple-year contract, we may not be able to realize all of our anticipated revenue and profits from that project.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our revenue is derived from contracts with agencies and departments of national, state, and local governments. During fiscal 2025 and 2024, approximately 50% and 46%, respectively, of our revenue was derived from contracts with government entities.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Most government contracts are subject to such government’s budgetary approval process. Legislatures typically appropriate funds for a given program on an annual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an extended government shutdown, competing priorities for appropriation, changes in administration or control of legislatures, and the timing and amount of tax receipts and the overall level of government expenditures. Similarly, the impact of an economic downturn on governments may make it more difficult for them to fund infrastructure projects. If appropriations are not made in subsequent years on our government contracts, then we will not realize all of our potential revenue and profit from those contracts.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win or renew government contracts during regulated procurement processes, our operations and financial results would be harmed.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 contracts are awarded through a regulated procurement process. The federal government has awarded multi-year contracts with pre-established terms and conditions, such as indefinite delivery contracts, that generally require those contractors that have previously been awarded the indefinite delivery contract to engage in an additional competitive bidding process before a task order is issued. The federal government has also awarded federal contracts based on a low-price, technically acceptable criteria emphasizing price over qualitative factors, such as past performance. As a result of these competitive pricing pressures, our profit margins on future federal contracts may be reduced and may require us to make sustained efforts to reduce costs in order to realize profits under government contracts. If we are not successful in reducing the amount of costs we incur, our profitability on government contracts will be negatively impacted. In addition, we may not be awarded government contracts because of existing government policies designed to protect small businesses and under-represented minority contractors. Our inability to win or renew government contracts during regulated procurement processes could harm our operations and reduce our profits and revenues.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Governmental agencies may modify, curtail or terminate our contracts at any time prior to their completion and, if we do not replace them, we may suffer a decline in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government contracts may be modified, curtailed or terminated by the government either at its discretion or upon the default of the contractor. If the government terminates a contract at its discretion, then we typically are able to recover only costs incurred or committed, settlement expenses and profit on work completed prior to termination, which could prevent us from recognizing all of our potential revenue and profits from that contract. In addition, for some assignments, the U.S. government may attempt to “insource” the services to government employees rather than outsource to a contractor. If a government terminates a contract due to our default, we could be liable for excess costs incurred by the government in obtaining services from another source.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contracts with governmental agencies are subject to audit, which could result in adjustments to reimbursable contract costs or, if we are charged with wrongdoing, possible temporary or permanent suspension from participating in government programs.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books and records are subject to audit by the various governmental agencies we serve and their representatives. These audits can result in adjustments to the amount of contract costs we believe are reimbursable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agencies and the amount of our overhead costs allocated to the agencies. If such matters are not resolved in our favor, they could have a material adverse effect on our business. In addition, if one of our subsidiaries is charged with wrongdoing as a result of an audit, that subsidiary, and possibly our company as a whole, could be temporarily suspended or could be prohibited from bidding on and receiving future government contracts for a period of time. Furthermore, as a government contractor, we are subject to an increased risk of investigations, criminal prosecution, civil fraud actions, whistleblower lawsuits, and other legal actions and liabilities to which purely private sector companies are not, the results of which could materially adversely impact our business. For example, from time to time we may be subject to qui tam lawsuits, which typically allege that we have made false statements or certifications in connection with claims for payment, or improperly retained overpayments, from the government. These suits may remain under seal (and hence, be unknown to us) for some time while the government decides whether to intervene on behalf of the qui tam plaintiff.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our Capital Structure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agreements governing our debt contain a number of restrictive covenants which will limit our ability to finance future operations, acquisitions or capital needs or engage in other business activities that may be in our interest.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(defined below) and the indentures governing our debt contain a number of significant covenants that impose operating and other restrictions on us and our subsidiaries. Such restrictions affect or will affect and, in many respects, limit or prohibit, among other things, our ability and the ability of some of our subsidiaries to:</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create liens;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pay dividends and make other distributions in respect of our equity securities;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redeem or repurchase our equity securities;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distribute excess cash flow from foreign to domestic subsidiaries;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make investments or other restricted payments;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sell assets;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enter into transactions with affiliates; and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effect mergers or consolidations.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Credit Agreement requires us to comply with a consolidated leverage ratio. Our ability to comply with this ratio may be affected by events beyond our control. 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 A breach of any of these covenants or our inability to comply with the required financial ratios could result in a default under our debt instruments. If an event of default occurs, our creditors could elect to:</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declare all borrowings outstanding, together with accrued and unpaid interest, to be immediately due and payable;</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require us to apply all of our available cash to repay the borrowings; or</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prevent us from making debt service payments on our borrowings.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unable to repay or otherwise refinance these borrowings when due, the applicable creditors could sell the collateral securing some of our debt instruments, which constitutes substantially all of the Company’s and certain of its domestic wholly-owned subsidiaries’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variable rate indebtedness subjects us to interest rate risk, which could cause our debt service obligations to increase significantly.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our Credit Agreement are at variable rates of interest and expose us to interest rate risk. If interest rates increase, our debt service obligations on the variable rate indebtedness will increase even though the amount borrowed remains the same, and our net income and cash flows, including cash available for servicing our indebtedness, will correspondingly decrease. A 1.00% increase in such interest rates would increase total interest expense under our Credit Agreement for the year ended September 30, 2025 by $9.0 million, including the effect of our interest rate swap and interest rate cap agreements. We may, from time to time, enter into additional interest rate derivatives that involve the exchange of floating for fixed rate interest payments in order to reduce interest rate volatility. However, we may not maintain interest rate derivatives with respect to all of our variable rate indebtedness, and any derivatives we enter into may not fully mitigate our interest rate risk and could be subject to credit risk themselves.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continue to access credit on acceptable terms, our business may be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changing nature of the global credit markets could make it more difficult for us to access funds, refinance our existing indebtedness, enter into agreements for uncommitted debt bond facilities and new indebtedness, replace our existing revolving and term credit agreements or obtain funding through the issuance of our securities. We use credit facilities to support our working capital and other needs. There is no guarantee that we can continue to renew our credit facility on terms as favorable as those in our existing credit facility and, if we are unable to do so, our costs of borrowing and our business may be adversely affected.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operations worldwide expose us to legal, political and economic risks in different countries as well as currency exchange rate fluctuations and impacts from inflation that could harm our business and financial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2025, revenue attributable to our services provided outside of the United States to non-U.S. clients was approximately 27% of our total revenue. There are risks inherent in doing business internationally, including:</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ongoing conflict between Russia and Ukraine, which has resulted in the imposition by the U.S. and other nations of restrictive actions against Russia, Belarus and certain banks, companies and individuals;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imposition of governmental controls and changes in laws, regulations or policies;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 xml:space="preserve">political and economic instability, including in the Middle East; </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civil unrest, acts of terrorism, force majeure, war, or other armed conflict;</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changes in U.S. and other national government trade policies affecting the markets for our services, including the imposition of tariffs;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political unrest in Hong Kong where we have a significant presence;</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impact of health crises and their related economic impacts;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increases in the consumer price index and interest rates;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changes in regulatory practices, tariffs and taxes;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potential non-compliance with a wide variety of laws and regulations, including anti-corruption, export control and anti-boycott laws and similar non-U.S. laws and regulations;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changes in labor conditions;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logistical and communication challenges; and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currency exchange rate fluctuations, devaluations and other conversion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have a material adverse effect on our business, results of operations or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many different jurisdictions and we could be adversely affected by legislative actions of governments, as well as violations of the U.S. Foreign Corrupt Practices Act and similar worldwide anti-corruption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Foreign Corrupt Practices Act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assure that our internal control policies and procedures always will protect us from reckless or criminal acts committed by our employees or agents. In addition, from time to time, government investigations of corruption affect us and our peers. Violations of these laws, or allegations of such violations, could disrupt our business and result in a material adverse effect on our results of operations or financial condition.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Building Safety Act (the “Act”), the primary legislation which introduces a new framework for the regulation of the UK construction industry, became law on April 28, 2022. While limited parts of the Act have not yet been enacted, and further secondary legislation is expected, most of the provisions are now in force. The Act extends liability periods for some historical defects in residential properties completed prior to 2022, creates a new government regulatory body responsible for building safety and new legal obligations regarding building safety, reallocates the risk related to design and construction, and requires the development of a more stringent regulatory regime for select buildings. The new legislation has resulted in new risk, litigation, regulatory and cost challenges for our United Kingdom and global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adversely affect our United Kingdom, European operations and overall business and financial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work in international locations where there are high security risks, which could result in harm to our employees and contractors or material costs to 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services are performed in high-risk locations, such as the Middle East, Africa, and Southeast Asia, where the location is suffering from political, social or economic problems, or war or civil unrest. In those locations where we have employees or operations, we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Our Operations and Technology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Many of our project sites are inherently dangerous workplaces. Failure to maintain safe work sites and equipment could result in environmental disasters, employee deaths or injuries, reduced profitability, the loss of projects or clients and possible exposure to litigation.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project sites often put our employees and others in close proximity with mechanized equipment, moving vehicles, chemical and manufacturing processes, and highly regulated materials. On some project sites, we may be responsible for safety and, accordingly, we have an obligation to implement effective safety procedures. If we fail to implement these procedures or if the procedures we implement are ineffective, we may suffer the loss of or injury to our employees, as well as expose ourselves to possible litigation. As a result, our failure to maintain adequate safety standards and equipment could result in reduced profitability, harm to our reputation, or the loss of projects or clients, and could have a material adverse impact on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Cybersecurity threats, information technology systems outages and data privacy incidents could adversely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experience errors, outages, or delays of service in our information technology systems, which could significantly disrupt our operations, impact our clients and employees, damage our reputation, and result in litigation and regulatory fines or penalties. Various privacy and securities laws pertaining to client and employee data usage require us to manage and protect sensitive and proprietary information. For example, the European’s Union General Data Protection Regulation may apply to companies processing data of European Union residents, even if the company is not located in the European Union. In addition, the California Consumer Privacy Act increased the penalties for data privacy incidents.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threats to our information technology systems, including unauthorized access, computer hackers, computer viruses, malicious code, cyber-attacks, ransomware, data extortion, phishing and other cybersecurity problems and system disruptions, including possible unauthorized access to our and our clients’ proprietary information. Our cybersecurity program is designed to use industry-accepted security measures and technology to securely maintain all proprietary information on our information technology systems. In the ordinary course of business, we have been targeted by malicious cyber-attacks. Anyone who circumvents our security measures could misappropriate proprietary information, including information regarding us, our employees and/or our clients, or cause interruptions in our operations. Although we devote considerable resources to our cybersecurity programs and have implemented security measures to protect our systems and to prevent, detect and respond to cybersecurity incidents, there can be no assurance that our efforts will prevent these threats. As these security threats continue to evolve, we may be required to devote additional resources to help prevent, detect and respond to system disruptions and cybersecurity incidents.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in part on third-party software and information technology vendors to run our critical accounting, project management and financial information systems. We depend on our software and information technology vendors to provide long-term software and hardware support for our information systems. Our software and information technology vendors may decide to discontinue further development, integration or long-term software and hardware support for our information systems, in which case we may need to abandon one or more of our current information systems and migrate some or all of our accounting, project management and financial information to other systems, thus increasing our operational expense, as well as disrupting the management of our business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damage our reputation and have a material adverse effect on our business, financial condition, results of operations and cash flows. Furthermore, while we maintain insurance designed to cover these events, our coverage may not sufficiently cover all types of losses or claims that may arise or be subject to exclusions.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use artificial intelligence, machine learning, data science and similar technologies in our business, and challenges with properly managing such technologies could result in reputational harm, competitive harm, and legal liability, and adversely affect our business,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Artificial intelligence, machine learning, data science and similar technologies (collectively, “AI”), including third-party AI tools, may be enabled by, or integrated into, some of our business processes and solutions. As with many developing technologies, AI presents risks and challenges that could affect its further development, adoption, and use, and therefore our business. AI algorithms may be flawed or biased. Datasets used to train or develop AI systems may be insufficient, of inferior quality, or contain biased, incorrect or incomplete information. The utilization of AI may increase our risk and liability exposure relating to confidentiality, intellectual property infringement, and client use restrictions. Our AI governance review process and safeguards may not be adequate to protect against these risks and challenges.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laws and regulations concerning the use of AI continue to evolve. If the use or integration of AI systems, or the outputs generated by such systems, were determined to be non-compliant (e.g., in relation to AI statutory regimes, data privacy rights or in relation to the use of AI for certain activities or use cases), this may expose us to regulatory action or litigation. It is possible that emerging regulations or changes to intellectual property laws may limit or block the use of AI in our business or otherwise impose restrictions that may adversely affect the efficiency of our business processes or solutions that were utilizing AI technologies.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or other third parties may incorporate AI into their product and service offerings more quickly or more successfully than us, which could impair our ability to compete effectively and adversely affect our business, financial condition and results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Contracts and Joint Ventures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and operating results could be adversely affected by losses under fixed-price or guaranteed maximum price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Fixed-price contracts require us to either perform all work under the contract for a specified lump-sum or to perform an estimated number of units of work at an agreed price per unit, with the total payment determined by the actual number of units performed. In addition, we may enter guaranteed maximum price contracts where we guarantee a price or delivery date. For the year ended September 30, 2025, our revenue was comprised of 38%, 37%, and 25% cost-reimbursable, guaranteed maximum price, and fixed-price contracts, respectively. Fixed-price contracts expose us to a number of risks not inherent in cost-reimbursable contracts, including underestimation of costs, ambiguities in specifications, unforeseen increases in or failures in estimating the cost of raw materials, equipment or labor, increased costs as a result of inflation, problems with new technologies, delays beyond our control, fluctuations in profit margins, failures of subcontractors to perform and economic or other changes that may occur during the contract period. United States and foreign trade policy actions in the United States could affect the profitability of our fixed-price projects. Losses under fixed-price or guaranteed contracts could be substantial and adversely impact our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failure to meet contractual schedule or performance requirements that we have guaranteed could adversely affect our operating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circumstances, we can incur liquidated or other damages if we do not achieve project completion by a scheduled date. If we or an entity for which we have provided a guarantee fails to complete the project as scheduled and the matter cannot be satisfactorily resolved with the client, we may be responsible for cost impacts to the client resulting from any delay or the cost to complete the project. Our costs generally increase from schedule delays and/or could exceed our projections for a particular project. In addition,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pandemics including the current coronavirus, and other factors. Material performance problems for existing and future contracts could cause actual results of operations to differ from those anticipated by us and also could cause us to suffer damage to our reputation within our industry and client base.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not be able to maintain adequate surety and financial capacity necessary for us to successfully bid on and win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line with industry practice, we are often required to provide surety bonds, standby letters of credit or corporate guarantees to our clients that indemnify them should our affiliate fail to perform its obligations under the terms of a contract. As of September 30, 2025 and September 30, 2024, we were contingently liable for $5.6 billion and $5.1 billion, respectively, in issued surety bonds primarily to support project execution and we had outstanding letters of credit totaling $903.8 million and $938.9 million, respectively. A surety may issue a performance or payment bond to guarantee to the client that our affiliate will perform under the terms of a contract. If our affiliate fails to perform under the terms of the contract, then the client may demand that the surety or another corporate affiliate provide the contracted services. In addition, we would typically have obligations to indemnify the surety for any loss incurred in connection with the bond. If a surety bond or a letter of credit is required for a particular project and we are unable to obtain an appropriate surety bond or letter of credit, we may not be able to pursue that project, which in turn could have a material adverse impact on our business, financial condition, results of operations, and cash flows.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conduct a portion of our operations through joint venture entities, over which we may have limited control.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13% of our fiscal 2025 revenue was derived from our operations through joint ventures or similar partnership arrangements, where control may be shared with unaffiliated third parties.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through joint ventures in which we are minority holders results in us having limited control over many decisions made with respect to projects and internal controls relating to projects. Sales of our services provided to our unconsolidated joint ventures were approximately 2% of our fiscal 2025 revenue.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financial condition and results of operations and could also affect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participate in joint ventures where we provide guarantees and may be adversely impacted by the failure of the joint venture or its participants to fulfill their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investments in and commitments to joint ventures with unrelated parties, including in connection with government services, and the investment activities of ACAP. For example, real estate and infrastructure joint ventures are inherently risky and may result in future losses since real estate markets are impacted by economic trends and government policies that we do not control. These joint ventures from time to time may borrow money to help finance their activities and, in some circumstances, we are required to provide guarantees of obligations of our affiliated entities. In addition, in connection with the investment activities of ACAP, we provide guarantees of obligations, including guarantees for completion of projects, payment of interest and carrying costs, repayment of debt, environmental indemnity obligations and other lender required guarantees. When we provide a guarantee, we may be responsible for material costs or performance in completing contractual obligations.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AECOM Capital’s real estate development and investment activities are inherently risky and may result in a future loss.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ACAP’s real estate business involves managing, sponsoring, investing in and developing commercial real estate projects and joint ventures (Real Estate Joint Ventures) that are inherently risky and may result in future losses based on factors beyond our control, including economic trends, government policies and competition. Our SEC-registered investment adviser jointly manages and sponsors the AECOM-Canyon Equity Fund, L.P. (the “Fund”), in which the Company indirectly holds an equity interest and which also invests in and develops Real Estate Joint Ventures on behalf of its investors. Real Estate Joint Ventures rely on substantial amounts of third party borrowing to finance their development activities and the lenders of such financings typically require AECOM or an affiliate to provide completion guarantees, repayment guarantees, environmental indemnities and other lender required credit support guarantees to secure the Real Estate Joint Ventures financing. Although the Fund and such Real Estate Joint Ventures may have reserves that will be used to share any cost overruns of the Real Estate Joint Ventures, if such reserves are unavailable, then AECOM may be required to make support payments, including to fund non-budgeted cost overruns on behalf of the Fund (but not on behalf of the Fund’s co-partner or any unaffiliated limited partners of the Real Estate Joint Ventures). Some of the Fund’s limited partners have made additional equity co-investments in certain Real Estate Joint Ventures for which AECOM will provide support payments on behalf of the limited partner co-investor in the event of a cost overrun of the Real Estate Joint Ventures after additional specific reserves have been depleted. During fiscal 2024, the Company completed a transaction pursuant to which members of the AECOM Capital team transitioned to a new third – party platform and will provide investment advisory services relating to the AECOM Capital business pursuant to certain advisory agreements. The failure of the transitioned team to adequately perform these services could negatively impact the Company. The Company has implemented comprehensive policies and procedures to oversee the provisions of these advisory services; however, these changes will impact the Company’s ability to supervise the investment team’s activities.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Laws and Regulations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Misconduct by our employees, subcontractors, partners or consultants or our failure to comply with laws or regulations applicable to our business could cause us to lose customers or lose our ability to contract with government agencies.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government contractor, misconduct, fraud or other improper activities caused by our employees’, subcontractors’, partners’ or consultants’ failure to comply with laws or regulations could have a significant negative impact on our business and reputation. Such misconduct could include the failure to comply with procurement regulations, environmental regulations, regulations regarding the protection of sensitive government information, legislation regarding the pricing of labor and other costs in government contracts, regulations on lobbying or similar activities, and anti-corruption, anti-competition, export control and other applicable laws or regulations. Our failure to comply with applicable laws or regulations, misconduct by any of our employees, subcontractors, partners or consultants, or our failure to make timely and accurate certifications to government agencies regarding misconduct or potential misconduct could subject us to fines and penalties, loss of government granted eligibility, cancellation of contracts and suspension or debarment from contracting with government agencies, any of which may adversely affect our business.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subject to substantial liabilities under environmental laws and regulations.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are subject to numerous environmental protection laws and regulations that are complex and stringent. Our business involves in part the planning, design, program management, construction management, and operations and maintenance at various sites, including but not limited to, nuclear facilities, hazardous waste and Superfund sites, hydrocarbon production, distribution and transport sites, and other infrastructure-related facilities. We also regularly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perform work in and around sensitive environmental areas, such as rivers, lakes and wetlands. In addition, we have contracts in support of U.S. federal government entities to decontaminate and decommission nuclear facilities. These activities may require us to manage, handle, remove, treat, transport and dispose of toxic or hazardous substances.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fines, penalties and other sanctions may be imposed for non-compliance with environmental laws and regulations, and some environmental laws provide for joint and several strict liabilities for remediation of releases of hazardous substances, rendering a person liable for environmental damage, without regard to negligence or fault on the part of such person. These laws and regulations may expose us to liability arising out of the conduct of operations or conditions caused by others, or for our acts that were in compliance with all applicable laws at the time these acts were performed. For example, there are a number of governmental laws that strictly regulate the handling, removal, treatment, transportation and disposal of toxic and hazardous substances, such as Comprehensive Environmental Response Compensation and Liability Act of 1980, and comparable state laws, that impose strict, joint and several liabilities for the entire cost of cleanup, without regard to whether a company knew of or caused the release of hazardous substances. In addition, some environmental regulations can impose liability for the entire cleanup upon owners, operators, generators, transporters and other persons arranging for the treatment or disposal of such hazardous substances related to contaminated facilities or project sites. Other federal environmental, health and safety laws affecting us include, but are not limited to, the Resource Conservation and Recovery Act, the National Environmental Policy Act, the Clean Air Act, the Clean Air Mercury Rule, the Occupational Safety and Health Act, the Toxic Substances Control Act and the Superfund Amendments and Reauthorization Act and the Energy Reorganization Act of 1974, as well as other comparable national and state laws. Liabilities related to environmental contamination or human exposure to hazardous substances, or a failure to comply with applicable regulations could result in substantial costs to us, including cleanup costs, fines and civil or criminal sanctions, third-party claims for property damage or personal injury or cessation of remediation activities. Our continuing work in the areas governed by these laws and regulations exposes us to the risk of substantial liability.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Climate Change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Climate change, natural disasters and related environmental issues could have a material adverse impact on 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Climate-related events, such as an increase in frequency and severity of storms, floods, wildfires, droughts, hurricanes, freezing conditions, and other natural disasters, may have a long-term impact on our business, financial condition and results of operation. While we seek to mitigate our business risks associated with climate events, we recognize that there are inherent climate-related risks regardless of where we conduct our businesses. For example, a catastrophic natural disaster could negatively impact any of our office locations and the locations of our clients. Accordingly, a natural disaster has the potential to disrupt our and our clients’ businesses and may cause us to experience work stoppages, project delays, financial losses and additional costs to resume operations, including increased insurance costs or loss of cover, legal liability and reputational losses.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There is an evolving awareness and scrutiny from stakeholders with respect to environmental, social and governance practices, which could affect our business.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Stakeholder expectations with respect to environmental, social and governance matters have been rapidly evolving, including with increased scrutiny from governmental organizations, clients and employees on such matters and related disclosures. We risk damage to our reputation if we do not act responsibly in key areas including diversity and inclusion, environmental stewardship, support for local communities and corporate governance. A failure to adequately meet evolving rules and regulations or stakeholders’ expectations, including failing to meet client commitments and targets, or being viewed negatively based on positions we do or do not take or work we do or do not perform, may result in loss of business, and an inability to attract and retain customers and talented personnel, which could have a negative impact on our business, results of operations and financial condition, and potentially on the price of our common stock and cost of capital. In addition, complying or failing to comply with existing or future federal, state, local and foreign legislation and regulations applicable to our environmental, social and governance practices, which may conflict with one another, could cause us to incur additional compliance and operational costs or actions and suffer reputational harm, which could materially and adversely affect our business, financial condition and results of operations.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Acquisitions and Divestitures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or effectively integrate acquisitions and divestitures may not occur as planned.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review our portfolio of businesses and pursue growth through acquisitions and seek to divest non-core businesses. We may not be able to complete transactions on favorable terms, on a timely basis, or at all, and during the integration of any acquisition, we may discover regulatory and compliance issues. In addition, our results of operations and cash flows may be adversely impacted by (i) the failure of acquired businesses to meet or exceed expected returns; (ii) the failure to integrate acquired businesses on schedule and/or to achieve expected synergies; (iii) the inability to dispose of non-core assets and businesses on satisfactory terms and conditions; (iv) diversion of attention and increased burdens on our employees; and (v) the discovery of unanticipated liabilities or other problems in acquired businesses for which we lack contractual protections, insurance or indemnities, or with regard to divested businesses, claims by purchasers to whom we have provided contractual indemnification. Additional difficulties we may encounter as part of the integration process include the following:</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consequences of a change in tax treatment and the possibility that the full benefits anticipated from the acquisition or disposition will not be realized;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any delay in the integration or disposition of management teams, strategies, operations, products and services;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differences in business backgrounds, corporate cultures and management philosophies that may delay successful integration;</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ability to retain key employees;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ability to create and enforce uniform standards, controls, procedures, policies and information systems;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challenge of restructuring complex systems, technology, networks and other assets in a seamless manner that minimizes any adverse impact on customers, suppliers, employees and other constituencies;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potential unknown liabilities and unforeseen increased expenses or delays associated with the acquisition, including costs to integrate beyond current estimates;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ability to deduct or claim tax attributes or benefits such as operating losses, business or foreign tax credits; and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the disruption of, or the loss of momentum in, each company’s ongoing businesses or inconsistencies in standards, controls, procedures and policies.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adversely affect our ability to maintain relationships with customers, suppliers, employees and other constituencies or could reduce our earnings or otherwise adversely affect our business and financial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plans to divest businesses are subject to various risks and uncertainties and may not be completed in accordance with the expected plans or anticipated time frame, or at all, and will involve significant time and expense, which could disrupt or adversely affect 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Divesting businesses involve risks and uncertainties, such as the difficulty separating assets related to such businesses from the businesses we retain, employee distraction, the need to obtain regulatory approvals and other third-party consents, which potentially disrupts customer and vendor relationships, and the fact that we may be subject to additional tax obligations or loss of tax benefits. Because of these challenges, as well as market conditions or other factors, anticipated divestitures may take longer or be costlier or generate fewer benefits than expected and may not be completed at all. If we are unable to complete divestitures or to successfully transition divested businesses, our business and financial results could be negatively impacted. After we dispose of a business, we may retain exposure on financial or performance guarantees and other contractual, employment, pension and severance obligations, and potential liabilities that may arise under law because of the disposition or the subsequent failure of an acquirer. Our results of operations, cash flows, working capital, effective tax rate, and financing requirements may be subject to increased volatility and our ability to fund capital expenditures, investments and service debt may be diminished. In addition, any purchase price adjustments could be unfavorable and other future proceeds owed to us as part of these transactions could be lower than we expect. As a result, performance by the divested businesses or other conditions outside of our control could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In addition, the divestiture of any business could negatively impact our profitability because of losses that may result from such a sale, the loss of sales and operating income, or a decrease in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 impairment charge of goodwill could have a material adverse impact on our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have grown in part through acquisitions, goodwill represents a substantial portion of our assets, and was $3.7 billion as of September 30, 2025. Under generally accepted accounting principles in the United States, we are required to test goodwill carried in our consolidated balance sheets for possible impairment on an annual basis based upon a fair value approach and whenever events occur that indicate impairment could exist. These events or circumstances could include a significant change in the business climate, including a significant sustained decline in a reporting unit’s market value, legal factors, operating performance indicators, competition, sale or disposition of a significant portion of our business, a significant sustained decline in our market capitalization and other factors.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we experience a decrease in our stock price and market capitalization over a sustained period, we would have to record an impairment charge in the future. The amount of any impairment could be significant and could have a material adverse impact on our financial condition and results of operations for the period in which the charge is taken.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required to contribute additional cash to meet our underfunded benefit obligations associated with pension benefit plans we manage or multiemployer pension plans in which we participate.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defined benefit pension plans for employees in the United States, United Kingdom, Canada, Australia, and Ireland. At September 30, 2025, our defined benefit pension plans had an aggregate deficit (the excess of projected benefit obligations over the fair value of plan assets) of approximately $89.4 million. In the future, our pension deficits may increase or decrease depending on changes in the levels of interest rates, pension plan performance and other factors that may require us to make additional cash contributions to our pension plans and recognize further increases in our net pension cost to satisfy our funding requirements. If we are forced or elect to make up all or a portion of the deficit for unfunded benefit plans, our results of operations could be materially and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multiemployer pension plan is typically established under a collective bargaining agreement with a union to cover the union-represented workers of various unrelated companies. Our collective bargaining agreements with unions require us to contribute to various multiemployer pension plans; however, we do not control or manage these plans. For the year ended September 30, 2025, we contributed $2.7 million to multiemployer pension plans. Under the Employee Retirement Income Security Act, an employer who contributes to a multiemployer pension plan, absent an applicable exemption, may also be liable, upon termination or withdrawal from the plan, for its proportionate share of the multiemployer pension plan’s unfunded vested benefit. If we terminate or withdraw from a multiemployer plan, absent an applicable exemption (such as for some plans in the building and construction industry), we could be required to contribute a significant amount of cash to fund the multiemployer plan’s unfunded vested benefit, which could materially and adversely affect our financial results; however, since we do not control the multiemployer plans, we are unable to estimate any potential contributions that could be required.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experience disproportionately high levels of collection risk and nonpayment if clients in specific geographic areas or industries are adversely affected by factors particular to their geographic area or industry.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clients include public and private entities that have been, and may continue to be, negatively impacted by the changing landscape in the global economy. While no one client accounted for over 10% of our revenue for fiscal 2025, we face collection risk as a normal part of our business where we perform services and subsequently bill our clients for such services, or when we make equity investments in majority or minority controlled large-scale client projects and other long-term capital projects before the project completes operational status or completes its project financing. In the event that we have concentrated credit risk from clients in a specific geographic area or industry, continuing negative trends or a worsening in the financial condition of that specific geographic area or industry could make us susceptible to disproportionately high levels of default by those clients. Such defaults could materially adversely impact our revenues, results of operations or accounts receivable.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services expose us to significant risks of liability and our insurance policies may not provide adequate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services involve significant risks of professional and other liabilities that may substantially exceed the fees that we derive from such services. In addition, we sometimes contractually assume liability to clients on projects under indemnification or guarantee agreements. We cannot predict the magnitude of potential liabilities from the operation of our business. In addition, in the ordinary course of our business, we frequently make professional judgments and recommendations about environmental and engineering conditions of project sites for our clients. We may be deemed to be responsible for these professional judgments and recommendations if they are later determined to be inaccurate. Any unfavorable legal ruling against us could result in substantial monetary damages or even criminal violations.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professional liability policies cover only claims made during the term of the policy.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Unavailability or cancellation of third-party insurance coverage would increase our overall risk exposure as well as disrupt the management of our business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do not have adequate indemnification for our services related to nuclear materials, it could adversely affect our business and financial condition.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services to the nuclear energy industry primarily related to decontamination and decommissioning of nuclear energy plants. Indemnification provisions under the Price-Anderson Act available to nuclear energy plant operators and contractors do not apply to all liabilities that we might incur while performing services as a radioactive materials cleanup contractor for the nuclear energy industry. If the Price-Anderson Act’s indemnification protection does not apply to our services or if our exposure occurs outside the U.S., our business and financial condition could be adversely affected either by our client’s refusal to retain us, by our inability to obtain commercially adequate insurance and indemnification, or by potentially significant monetary damages we may incur.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backlog of uncompleted projects under contract is subject to unexpected adjustments and cancellations and, thus may not accurately reflect future revenue and profits.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backlog was approximately $39.7 billion. We reported transaction price allocated to remaining unsatisfied performance obligations (RUPO) of $19.7 billion, as described in Note 4, Revenue Recognition, in the notes to our consolidated financial statements. The most significant differences between our backlog and RUPO are backlog contains revenue we expect to record in the future where we have been awarded the work, but the contractual agreement has not yet been signed and revenue related to service contracts that extend beyond the termination provisions of those contracts, where guidance for the calculation of RUPO requires us to assume the contract will be terminated at its earliest convenience. Accordingly, RUPO is $20.0 billion lower than backlog. We cannot guarantee that future revenue will be realized from either category of backlog or, if realized, will result in profits. Many projects may remain in our backlog for an extended period of time because of the size or long-term nature of the contract. In addition, from time to time, projects are delayed, scaled back or canceled. These types of backlog reductions adversely affect the revenue and profits that we ultimately receive from contracts reflected in our backlog.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From time to time, we submit claims to clients for work we performed beyond the initial scope of some of our contracts. If these clients do not approve these claims, our results of operations could be adversely impacted.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have pending claims submitted under some of our contracts for payment of work performed beyond the initial contractual requirements for which we have already recorded revenue. In general, we cannot guarantee that such claims will be approved in whole, in part, or at all. Often, these claims can be the subject of lengthy arbitration or litigation proceedings, and it is difficult to accurately predict when these claims will be fully resolved. When these types of events occur and unresolved claims are pending, we have used working capital in projects to cover cost overruns pending the resolution of the relevant claims. If these claims are not approved, our revenue may be reduced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 conducting our business, we depend on other contractors, subcontractors and equipment and material providers. If these parties fail to satisfy their obligations to us or other parties or if we are unable to maintain these relationships, our revenue, profitability and growth prospects could be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depend on contractors, subcontractors and equipment and material providers in conducting our business. There is a risk that we may have disputes with our subcontractors arising from, among other things, the quality and timeliness of work performed by the subcontractor, customer concerns about the subcontractor, or our failure to extend existing task orders or issue new task orders under a subcontract. Also, to the extent that we cannot acquire equipment and materials at reasonable costs, or if the amount we are required to pay exceeds our estimates, our ability to complete a project in a timely fashion or at a profit may be impaired. In addition, if any of our subcontractors fail to deliver on a timely basis the agreed-upon supplies and/or perform the agreed-upon services, our ability to fulfill our obligations as a prime contractor may be jeopardized; we could be held responsible for such failures and/or we may be required to purchase the supplies or services from another source at a higher price. This may reduce the profit to be realized or result in a loss on a project for which the supplies or services are needed.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on relationships with other contractors when we act as their subcontractor or joint venture partner. Our future revenue and growth prospects could be adversely affected if other contractors eliminate or reduce their subcontracts or joint venture relationships with us, or if a government agency terminates or reduces these other contractors’ programs, does not award them new contracts or refuses to pay under a contract. In addition, due to “pay when paid” provisions that are common in subcontracts in many countries, including the U.S., we could experience delays in receiving payment if the prime contractor experiences payment delays.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clients use our reports or other work product without appropriate disclaimers or in a misleading or incomplete manner, or if our reports or other work product are not in compliance with professional standards and other regulations, our business could be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reports and other work product we produce for clients sometimes include projections, forecasts and other forward-looking statements. Such information by its nature is subject to numerous risks and uncertainties, any of which could cause the information produced by us to ultimately prove inaccurate. While we include appropriate disclaimers in the reports that we prepare for our clients, once we produce such written work product, we do not always have the ability to control the manner in which our clients use such information. As a result, if our clients reproduce such information to solicit funds from investors for projects without appropriate disclaimers and the information proves to be incorrect, or if our clients reproduce such information for potential investors in a misleading or incomplete manner, our clients or such investors may threaten to or file suit against us for, among other things, securities law violations. If we were found to be liable for any claims related to our client work product, our business could be adversely affected.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reports and other work product may need to comply with professional standards, licensing requirements, securities regulations and other laws and rules governing the performance of professional services in the jurisdiction where the services are performed. We could be liable to third parties who use or rely upon our reports and other work product even if we are not contractually bound to those third parties. These events could in turn result in monetary damages and penalties.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adequately protect, maintain, or enforce our rights in our intellectual property may adversely limit our competitive position.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upon our ability to protect our intellectual property. We rely on a combination of intellectual property policies and other contractual arrangements to protect much of our intellectual property where we do not believe that trademark, patent or copyright protection is appropriate or obtainable.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and growth prospects may be harmed if we or our employees are unable to obtain government granted eligibility or other qualifications we and they need to perform services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government programs require contractors to have government granted eligibility, such as security clearance credentials. Depending on the project, eligibility can be difficult and time-consuming to obtain. If we or our employees are unable to obtain or retain the necessary eligibility,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Negotiations with labor unions and possible work actions could divert management attention and disrupt operations. In addition, new collective bargaining agreements or amendments to agreements could increase our labor costs and operating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negotiate with labor unions and enter into collective bargaining agreements. The outcome of any future negotiations relating to union representation or collective bargaining agreements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charter documents contain provisions that may delay, defer or prevent a change of control.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Provisions of our certificate of incorporation and bylaws could make it more difficult for a third party to acquire control of us, even if the change in control would be beneficial to stockholders. These provisions include the following:</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ability of our Board of Directors to authorize the issuance of preferred stock in series without stockholder approval;</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vesting of exclusive authority in our Board of Directors to determine the size of the board and to fill vacancies; and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cannot guarantee the timing, amount or payment of dividends.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Board of Directors has adopted a dividend policy under which we intend to pay a regular quarterly cash dividend, the timing and amount of any subsequently declared dividend (or any special dividend) is subject to the discretion of the Board of Directors and will be based on a variety of factors, including cash flows, earnings and financial borrowing availability and other restrictions under our outstanding indebtedness. We are not required to declare dividends and we are restricted under our outstanding indebtedness and could be restricted under future financing or other arrangements. Our Board of Directors may modify or terminate our dividend policy. Accordingly, we cannot provide any assurances that we will pay quarterly or special dividends or the amount or timing thereof. Any reduction or elimination of our dividend policy or dividend payments could have a negative effect on the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could increase our worldwide tax rate and materially affect our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tax laws in the U.S. and numerous foreign jurisdictions. The U.S. and many international legislative and regulatory bodies continually propose and enact legislation that could significantly impact how U.S. multinational corporations are taxed.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there are many transactions and calculations where the ultimate tax determination is uncertain, and we are regularly subject to audit by tax authorities. Although we believe that our tax estimates and tax positions are reasonable, they could be materially affected by many factors including the final outcome of tax audits and related litigation, the introduction of new tax accounting standards, legislation, regulations and related interpretations.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a global coalition of member countries, has developed a two-pillar framework to reform international taxation. The framework is designed to ensure that multinationals pay a minimum level of tax on their foreign profits through the introduction of a global minimum tax among other provisions. The minimum tax affects our financial statements beginning fiscal 2025 for those operations that are doing business in countries that have enacted the framework. While the current impact is limited, the continued enactment by all OECD countries or by individual countries could result in additional income tax liability, but the timing and ultimate impact on our tax obligations are uncertain.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large scale of our U.S. and international business activities, many of these proposed changes, if enacted into law, could have an adverse impact on our worldwide effective tax rate, income tax expense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cybersecurity program designed to assess, identify and manage risks from cybersecurity threats that may result in adverse effects on the confidentiality, integrity and availability of our information systems. Dedicated security and information governance and compliance professionals administer the program with oversight by our senior management team.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a combination of technology controls, service providers, and processes to actively monitor and protect our network and systems. All employees are required to participate in a number of information security training and awareness programs on an annual basis, which include training on how to identify and report cyber risks and events.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engage industry cybersecurity experts to evaluate and review our cybersecurity programs. These external reviews include regular audits, threat assessments, vulnerability scans, simulated attacks and other advice regarding information security practices. We regularly conduct incident response exercises with key stakeholders.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manage risks associated with third-party service providers, we typically perform a cybersecurity assessment on new vendors before they are onboarded as a supplier. We conduct periodic reviews of these vendors to evaluate continued compliance with our policies and standards. We strive to ensure that our contracts with such vendors require them to maintain security controls in line with industry practices, applicable laws and our policies. We rely on vendors to notify us in a timely manner of significant cybersecurity incidents, by virtue of the documents governing their relationship with us or applicable law.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(“Board”) receives regular updates from management and external consultants which may address a broad range of cybersecurity and IT topics, including trends, regulatory developments, data security policies and practices, cybersecurity incidents, and ongoing efforts to further strengthen our security posture. Our Board reviews key metrics related to cybersecurity on a quarterly basis, and is notified of applicable cybersecurity incidents if and when they occur.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Chief Information Security Officer (“CISO”) heads the cybersecurity program which includes personnel based in several of our global locations. Our CISO brings over 25 years of experience, which includes both consulting and practitioner roles, and maintains the following certifications: Certified Information System Security Professional (CISSP), Certified in Risk and Information Systems Control (CRISC), and Certified Information Security Manager (CISM). Our CISO reports to our Chief Information Officer, up to the Chief Technology Officer, who meets with our Board at least annually to discuss cybersecurity risk and related topics.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CISO’s team is responsible for leading enterprise-wide cybersecurity strategy, policy, standards and processes. The CISO receives ongoing updates from his team regarding the prevention, detection, mitigation, and remediation of cybersecurity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 cybersecurity incident, we have a plan which sets forth a framework to report such incidents to our cybersecurity incident response team. This framework is designed with the goal of enabling the response team to take actions to monitor, mitigate and remediate such incidents in a timely manner. As part of this incident response plan, we have retainers in place with professional service firms to assist with cybersecurity incidents if needed.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Cybersecurity Risks, Threats and Material Incidents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are not aware of any cybersecurity incidents that have materially affected us through the date of this report, there can be no guarantee that we will not be the subject of future material cybersecurity incidents. Additional information on cybersecurity risks that we may face can be found in Item 1A – Risk Factors –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corporate offices are located in approximately 9,000 square feet of space at 13355 Noel Road, Dallas, Texas. Our other offices, including smaller administrative or project offices, consist of an aggregate of approximately 5.2 million square feet worldwide. Virtually all of our offices are leased. See Note 11 in the notes to our consolidated financial statements for information regarding our lease obligations. We may add additional facilities from time to time in the future as the need arises.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government contractor, we are subject to various laws and regulations that are more restrictive than those applicable to non-government contractors. Intense government scrutiny of contractors’ compliance with those laws and regulations through audits and investigations is inherent in government contracting and, from time to time, we receive inquiries, subpoenas, and similar demands related to our ongoing business with government entities. Violations can result in civil or criminal liability as well as suspension or debarment from eligibility for awards of new government contracts or option renewals.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investigations, claims and lawsuits in the normal conduct of our business. We are not always aware if we or our affiliates are under investigation or the status of such matters. Although the outcome of our legal proceedings cannot be predicted with certainty and no assurances can be provided, in the opinion of our management, based upon current information and discussions with counsel, with the exception of the matters noted in Note 18, Commitments and Contingencies, to the financial statements contained in this report to the extent stated therein, none of the investigations, claims and lawsuits in which we are involved is expected to have a material adverse effect on our consolidated financial position, results of operations, cash flows or our ability to conduct business. See Note 18, Commitments and Contingencies, to the financial statements contained in this report for a discussion of certain matters to which we are a party. The information set forth in such note is incorporated by reference into this Item 3. From time to time, we establish reserves for litigation when we consider it probable that a loss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(NYSE) under the symbol “ACM.” According to the records of our transfer agent, there were 1,364 stockholders of record as of November 14, 2025.</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Equity Compensation Plans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information about shares of AECOM common stock that may be issued under our equity compensation plans as of September 30, 2025:</w:t>
      </w:r>
    </w:p>
    <w:tbl>
      <w:tblPr>
        <w:tblW w:w="10205" w:type="dxa"/>
        <w:jc w:val="left"/>
        <w:tblInd w:w="0" w:type="dxa"/>
        <w:tblLayout w:type="fixed"/>
        <w:tblCellMar>
          <w:top w:w="28" w:type="dxa"/>
          <w:left w:w="28" w:type="dxa"/>
          <w:bottom w:w="28" w:type="dxa"/>
          <w:right w:w="28" w:type="dxa"/>
        </w:tblCellMar>
      </w:tblPr>
      <w:tblGrid>
        <w:gridCol w:w="706"/>
        <w:gridCol w:w="620"/>
        <w:gridCol w:w="623"/>
        <w:gridCol w:w="109"/>
        <w:gridCol w:w="109"/>
        <w:gridCol w:w="109"/>
        <w:gridCol w:w="698"/>
        <w:gridCol w:w="698"/>
        <w:gridCol w:w="707"/>
        <w:gridCol w:w="109"/>
        <w:gridCol w:w="109"/>
        <w:gridCol w:w="109"/>
        <w:gridCol w:w="757"/>
        <w:gridCol w:w="757"/>
        <w:gridCol w:w="763"/>
        <w:gridCol w:w="109"/>
        <w:gridCol w:w="109"/>
        <w:gridCol w:w="109"/>
        <w:gridCol w:w="843"/>
        <w:gridCol w:w="843"/>
        <w:gridCol w:w="120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Column C</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securities to be issued upon exercise of outstanding options, warrants, and rights</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noBreakHyphen/>
              <w:t>average exercise price of Outstanding options, warrants, 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AECOM Stock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1,357,329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11,262,039</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AECOM Employee Stock Purchase Plan</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7,504,394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18,766,433</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0"/>
        <w:ind w:left="0" w:right="0" w:hanging="374"/>
        <w:jc w:val="both"/>
        <w:rPr/>
      </w:pPr>
      <w:r>
        <w:rPr>
          <w:rFonts w:ascii="Times New Roman;serif" w:hAnsi="Times New Roman;serif"/>
          <w:b w:val="false"/>
          <w:color w:val="000000"/>
          <w:sz w:val="13"/>
        </w:rPr>
        <w:t>(1)</w:t>
      </w:r>
      <w:r>
        <w:rPr>
          <w:rFonts w:ascii="Times New Roman;serif" w:hAnsi="Times New Roman;serif"/>
          <w:b w:val="false"/>
          <w:color w:val="000000"/>
          <w:sz w:val="20"/>
        </w:rPr>
        <w:t>Includes 717,898 shares issuable upon the vesting of Restricted Stock Units, and 639,431 shares issuable if specified performance targets are met under Performance Earnings Program Awards (PEP). As of September 30, 2025, there were no options outstanding.</w:t>
      </w:r>
    </w:p>
    <w:p>
      <w:pPr>
        <w:pStyle w:val="TextBody"/>
        <w:bidi w:val="0"/>
        <w:spacing w:lineRule="auto" w:line="288" w:before="0" w:after="0"/>
        <w:ind w:left="0" w:right="0" w:hanging="374"/>
        <w:jc w:val="both"/>
        <w:rPr/>
      </w:pPr>
      <w:r>
        <w:rPr>
          <w:rFonts w:ascii="Times New Roman;serif" w:hAnsi="Times New Roman;serif"/>
          <w:b w:val="false"/>
          <w:color w:val="000000"/>
          <w:sz w:val="13"/>
        </w:rPr>
        <w:t>(2)</w:t>
      </w:r>
      <w:r>
        <w:rPr>
          <w:rFonts w:ascii="Times New Roman;serif" w:hAnsi="Times New Roman;serif"/>
          <w:b w:val="false"/>
          <w:color w:val="000000"/>
          <w:sz w:val="20"/>
        </w:rPr>
        <w:t>Weighted-average exercise price of outstanding options only.</w:t>
      </w:r>
    </w:p>
    <w:p>
      <w:pPr>
        <w:pStyle w:val="TextBody"/>
        <w:bidi w:val="0"/>
        <w:spacing w:lineRule="auto" w:line="288" w:before="0" w:after="240"/>
        <w:ind w:left="0" w:right="0" w:hanging="374"/>
        <w:jc w:val="both"/>
        <w:rPr/>
      </w:pPr>
      <w:r>
        <w:rPr>
          <w:rFonts w:ascii="Times New Roman;serif" w:hAnsi="Times New Roman;serif"/>
          <w:b w:val="false"/>
          <w:color w:val="000000"/>
          <w:sz w:val="13"/>
        </w:rPr>
        <w:t>(3)</w:t>
      </w:r>
      <w:r>
        <w:rPr>
          <w:rFonts w:ascii="Times New Roman;serif" w:hAnsi="Times New Roman;serif"/>
          <w:b w:val="false"/>
          <w:color w:val="000000"/>
          <w:sz w:val="20"/>
        </w:rPr>
        <w:t>Amounts only reflected in column (c) and include all shares available for future issuance and subject to outstanding rights.</w:t>
      </w:r>
    </w:p>
    <w:p>
      <w:pPr>
        <w:pStyle w:val="TextBody"/>
        <w:bidi w:val="0"/>
        <w:spacing w:lineRule="auto" w:line="288" w:before="0" w:after="240"/>
        <w:ind w:left="0" w:right="0" w:firstLine="720"/>
        <w:jc w:val="both"/>
        <w:rPr/>
      </w:pPr>
      <w:r>
        <w:rPr>
          <w:rFonts w:ascii="Times New Roman;serif" w:hAnsi="Times New Roman;serif"/>
          <w:b/>
          <w:color w:val="000000"/>
          <w:sz w:val="20"/>
        </w:rPr>
        <w:t>Performance Measurement Comparison</w:t>
      </w:r>
      <w:r>
        <w:rPr>
          <w:rFonts w:ascii="Times New Roman;serif" w:hAnsi="Times New Roman;serif"/>
          <w:b/>
          <w:color w:val="000000"/>
          <w:sz w:val="13"/>
        </w:rPr>
        <w:t>(1)</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chart compares the cumulative total stockholder return of AECOM stock (ACM) with the cumulative total return of the S&amp;P MidCap 400, and the S&amp;P Mid Cap 400 Commercial &amp; Professional Services Index, from October 2, 2020 to October 3, 2025.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S&amp;P 400 MidCap is an appropriate independent broad market index, since it measures the performance of similar mid-sized companies in numerous sectors. In addition, we believe the S&amp;P Mid Cap 400 Commercial &amp; Professional Services Index is an appropriate third party published industry index since it measures the performance of professional services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drawing>
          <wp:inline distT="0" distB="0" distL="0" distR="0">
            <wp:extent cx="6210300" cy="502920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6210300" cy="5029200"/>
                    </a:xfrm>
                    <a:prstGeom prst="rect">
                      <a:avLst/>
                    </a:prstGeom>
                  </pic:spPr>
                </pic:pic>
              </a:graphicData>
            </a:graphic>
          </wp:inline>
        </w:drawing>
      </w:r>
      <w:bookmarkStart w:id="4" w:name="i-5"/>
      <w:bookmarkEnd w:id="4"/>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240"/>
        <w:ind w:left="0" w:right="0" w:hanging="374"/>
        <w:jc w:val="both"/>
        <w:rPr/>
      </w:pPr>
      <w:r>
        <w:rPr>
          <w:rFonts w:ascii="Times New Roman;serif" w:hAnsi="Times New Roman;serif"/>
          <w:b w:val="false"/>
          <w:color w:val="000000"/>
          <w:sz w:val="13"/>
        </w:rPr>
        <w:t>(1)</w:t>
      </w:r>
      <w:r>
        <w:rPr>
          <w:rFonts w:ascii="Times New Roman;serif" w:hAnsi="Times New Roman;serif"/>
          <w:b w:val="false"/>
          <w:color w:val="000000"/>
          <w:sz w:val="20"/>
        </w:rPr>
        <w:t>This section is not “soliciting material,” is not deemed “filed” with the SEC and is not incorporated by reference in any of our filings under the Securities Act of 1933, as amended, or the Securities Exchange Act of 1934, as amended, whether made before or after the date hereof and irrespective of any general incorporation language in any such filing.</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repurchase activity for each of the three months ended September 30, 2025:</w:t>
      </w:r>
    </w:p>
    <w:tbl>
      <w:tblPr>
        <w:tblW w:w="10205" w:type="dxa"/>
        <w:jc w:val="left"/>
        <w:tblInd w:w="0" w:type="dxa"/>
        <w:tblLayout w:type="fixed"/>
        <w:tblCellMar>
          <w:top w:w="28" w:type="dxa"/>
          <w:left w:w="28" w:type="dxa"/>
          <w:bottom w:w="28" w:type="dxa"/>
          <w:right w:w="28" w:type="dxa"/>
        </w:tblCellMar>
      </w:tblPr>
      <w:tblGrid>
        <w:gridCol w:w="625"/>
        <w:gridCol w:w="296"/>
        <w:gridCol w:w="299"/>
        <w:gridCol w:w="109"/>
        <w:gridCol w:w="109"/>
        <w:gridCol w:w="109"/>
        <w:gridCol w:w="479"/>
        <w:gridCol w:w="421"/>
        <w:gridCol w:w="423"/>
        <w:gridCol w:w="109"/>
        <w:gridCol w:w="109"/>
        <w:gridCol w:w="109"/>
        <w:gridCol w:w="268"/>
        <w:gridCol w:w="916"/>
        <w:gridCol w:w="138"/>
        <w:gridCol w:w="109"/>
        <w:gridCol w:w="109"/>
        <w:gridCol w:w="109"/>
        <w:gridCol w:w="729"/>
        <w:gridCol w:w="717"/>
        <w:gridCol w:w="719"/>
        <w:gridCol w:w="109"/>
        <w:gridCol w:w="109"/>
        <w:gridCol w:w="109"/>
        <w:gridCol w:w="389"/>
        <w:gridCol w:w="2188"/>
        <w:gridCol w:w="290"/>
      </w:tblGrid>
      <w:tr>
        <w:trPr/>
        <w:tc>
          <w:tcPr>
            <w:tcW w:w="6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Maximum Approximate Dollar Value that May Yet Be Purchased Under the Plans or Programs </w:t>
            </w:r>
            <w:r>
              <w:rPr>
                <w:rFonts w:ascii="Times New Roman;serif" w:hAnsi="Times New Roman;serif"/>
                <w:b/>
                <w:color w:val="000000"/>
                <w:sz w:val="10"/>
              </w:rPr>
              <w:t>(1)</w:t>
            </w:r>
          </w:p>
        </w:tc>
      </w:tr>
      <w:tr>
        <w:trPr/>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894,500,000 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894,500,000 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644,400,000 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240"/>
        <w:ind w:left="0" w:right="0" w:hanging="374"/>
        <w:jc w:val="both"/>
        <w:rPr/>
      </w:pPr>
      <w:r>
        <w:rPr>
          <w:rFonts w:ascii="Times New Roman;serif" w:hAnsi="Times New Roman;serif"/>
          <w:b w:val="false"/>
          <w:color w:val="000000"/>
          <w:sz w:val="13"/>
        </w:rPr>
        <w:t>(1)</w:t>
      </w:r>
      <w:r>
        <w:rPr>
          <w:rFonts w:ascii="Times New Roman;serif" w:hAnsi="Times New Roman;serif"/>
          <w:b w:val="false"/>
          <w:color w:val="000000"/>
          <w:sz w:val="20"/>
        </w:rPr>
        <w:t>On November 15, 2024, the Board approved an increase in the Company’s repurchase authorization up to an aggregate amount of $1.0 billion with no expiration date. Stock repurchase can be made through open market purchases or other methods, including pursuant to a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Annual Report on Form 10-K contains forward-looking statements within the meaning of the safe harbor provisions of the Private Securities Litigation Reform Act of 1995 that are not limited to historical facts, but reflect the Company’s current beliefs, expectations or intentions regarding future events. These statements include forward-looking statements with respect to the Company, including the Company’s business, operations and strategy, and infrastructure consulting industry. Statements that are not historical facts, without limitation, including statements that use terms such as “anticipates,” “believes,” “expects,” “estimates,” “intends,” “may,” “plans,” “potential,” “projects,” and “will” and that relate to our future revenues, expenditures and business trends; future reduction of our self-perform at-risk construction exposure; future accounting estimates; future contractual performance obligations; future conversions of backlog; future capital allocation priorities, including common stock repurchases, future trade receivables, future debt pay downs; future post-retirement expenses; future tax benefits and expenses, and the impact of future tax laws; future compliance with regulations; future legal claims and insurance coverage; future effectiveness of our disclosure and internal controls over financial reporting; future costs savings; and other future economic and industry conditions, are forward-looking statements. In light of the risks and uncertainties inherent in all forward-looking statements, the inclusion of such statements in this Annual Report should not be considered as a representation by us or any other person that our objectives or plans will be achieved. Although management believes that the assumptions underlying the forward-looking statements are reasonable, these assumptions and the forward-looking statements are subject to various factors, risks and uncertainties, many of which are beyond our control, including, but not limited to, our business is cyclical and vulnerable to economic downturns and client spending reductions; government shutdowns; changes in administration or other funding directives and circumstances that cause governmental agencies to modify, curtail or terminate our contracts; government contracts are subject to audits and adjustments of contractual terms; long-term government contracts are subject to uncertainties related to government contract appropriations; losses under fixed-price contracts; limited control over operations run through our joint venture entities; liability for misconduct by our employees or consultants; changes in government laws, regulations and policies, including failure to comply with laws or regulations applicable to our business; maintaining adequate surety and financial capacity; potential high leverage and inability to service our debt and guarantees; our capital allocation strategy, including our ability to continue payment of dividends; exposure to political and economic risks in different countries, including tariffs and trade policies, geopolitical events, and conflicts; inflation, currency exchange rates and interest rate fluctuations; changes in capital markets and stock market volatility; retaining and recruiting key technical and management personnel; legal claims and litigation; inadequate insurance coverage; environmental law compliance and inadequate nuclear indemnification; unexpected adjustments and cancellations related to our backlog; partners and third parties who may fail to satisfy their legal obligations; managing pension costs; AECOM Capital’s real estate development; cybersecurity issues, IT outages and data privacy; risks associated with the benefits and costs of the sale of our Management Services and self-perform at-risk civil infrastructure, power construction, and oil and gas construction businesses, including the risk that any purchase adjustments from those transactions could be unfavorable and any future proceeds owed to us as part of the transactions could be lower than we expect; risks associated with our strategic initiatives, including AI investments and potential acquisitions and divestitures, as well as other additional risks and factors discussed in this Annual Report on Form 10-K and any subsequent reports we file with the SEC. Accordingly, actual results could differ materially from those contemplated by any forward-looking statement.</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 subsequent written and oral forward-looking statements concerning the Company or other matters attributable to the Company or any person acting on its behalf are expressly qualified in their entirety by the cautionary statements above. You are cautioned not to place undue reliance on these forward-looking statements, which speak only to the date they are made. The Company is under no obligation (and expressly disclaims any such obligation) to update or revise any forward-looking statement that may be made from time to time, whether as a result of new information, future developments or otherwise. Please review “Part I, Item 1A—Risk Factors” in this Annual Report for a discussion of the factors, risks and uncertainties that could affect our future results.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Our fiscal year consists of 52 or 53 weeks, ending on the Friday closest to September 30. For clarity of presentation, we present all periods as if the year ended on September 30. We refer to the fiscal year ended September 30, 2024 as “fiscal 2024” and the fiscal year ended September 30, 2025 as “fiscal 2025.”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this section, we discuss the results of our operations for the year ended September 30, 2025 compared to the year ended September 30, 2024. For a discussion on the year ended September 30, 2024 compared to the year ended September 30, 2023, please refer to Part II, Item 7, “Management’s Discussion and Analysis of Financial Condition and Results of Operations” in our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leading global provider of professional infrastructure consulting and advisory services for governments, businesses and organizations throughout the world. We provide advisory, planning, consulting, architectural and engineering design, construction and program management services, and investment and development services to public and private clients worldwide in major end markets such as transportation, facilities, water, environmental, and energy.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focuses primarily on providing fee-based knowledge-based services. We primarily derive income from our ability to generate revenue and collect cash from our clients through the billing of our employees’ time spent on client projects and our ability to manage our costs. AECOM Capital primarily derives its income from real estate development sales and management fees.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report our continuing business through three segments, each of which is described in further detail below: Americas, International, and AECOM Capital (ACAP). Such segments are organized by the differing specialized needs of the respective clients, and how we manage the business. We have aggregated various operating segments into our reportable segments based on their similar characteristics, including similar long-term financial performance, the nature of services provided, internal processes for delivering those services, and types of customers.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i/>
          <w:color w:val="000000"/>
          <w:sz w:val="20"/>
        </w:rPr>
        <w:t>Americas:</w:t>
      </w:r>
      <w:r>
        <w:rPr>
          <w:color w:val="000000"/>
        </w:rPr>
        <w:t xml:space="preserve"> </w:t>
      </w:r>
      <w:r>
        <w:rPr>
          <w:rFonts w:ascii="Times New Roman;serif" w:hAnsi="Times New Roman;serif"/>
          <w:b w:val="false"/>
          <w:color w:val="000000"/>
          <w:sz w:val="20"/>
        </w:rPr>
        <w:t>Planning, advisory, consulting, architectural and engineering design, construction management and program management services to public and private clients in the United States, Canada, and Latin America in major end markets such as transportation, water, government, facilities, environmental, and energy.</w:t>
      </w:r>
    </w:p>
    <w:p>
      <w:pPr>
        <w:pStyle w:val="TextBody"/>
        <w:bidi w:val="0"/>
        <w:spacing w:lineRule="auto" w:line="288" w:before="0" w:after="240"/>
        <w:ind w:left="0" w:right="0" w:hanging="346"/>
        <w:jc w:val="both"/>
        <w:rPr/>
      </w:pPr>
      <w:r>
        <w:rPr>
          <w:color w:val="000000"/>
        </w:rPr>
        <w:t>•</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Planning, advisory, consulting, architectural and engineering design services, site supervision and program management to public and private clients in Europe, the Middle East, India, Africa and the Asia-Australia-Pacific regions in major end markets such as transportation, water, government, facilities, environmental, and energy.</w:t>
      </w:r>
    </w:p>
    <w:p>
      <w:pPr>
        <w:pStyle w:val="TextBody"/>
        <w:bidi w:val="0"/>
        <w:spacing w:lineRule="auto" w:line="288" w:before="0" w:after="240"/>
        <w:ind w:left="0" w:right="0" w:hanging="346"/>
        <w:jc w:val="both"/>
        <w:rPr/>
      </w:pPr>
      <w:r>
        <w:rPr>
          <w:color w:val="000000"/>
        </w:rPr>
        <w:t>•</w:t>
      </w:r>
      <w:r>
        <w:rPr>
          <w:rFonts w:ascii="Times New Roman;serif" w:hAnsi="Times New Roman;serif"/>
          <w:b w:val="false"/>
          <w:i/>
          <w:color w:val="000000"/>
          <w:sz w:val="20"/>
        </w:rPr>
        <w:t>AECOM Capital (ACAP):</w:t>
      </w:r>
      <w:r>
        <w:rPr>
          <w:color w:val="000000"/>
        </w:rPr>
        <w:t xml:space="preserve"> </w:t>
      </w:r>
      <w:r>
        <w:rPr>
          <w:rFonts w:ascii="Times New Roman;serif" w:hAnsi="Times New Roman;serif"/>
          <w:b w:val="false"/>
          <w:color w:val="000000"/>
          <w:sz w:val="20"/>
        </w:rPr>
        <w:t>Primarily invests in and develops real estate projects.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dependent on our ability to attract and retain qualified and productive employees, identify business opportunities, allocate our labor resources and capital to profitable and high growth markets, secure new contracts, and renew existing client agreements. Demand for our services may be vulnerable to sudden economic downturns and reductions in government and private industry spending, which may result in clients delaying, curtailing or canceling proposed and existing projects. Moreover, as a professional services company, maintaining the high quality of the work generated by our employees is integral to our revenue generation and profitability. Given the global nature of our business, our revenue is exposed to currency rate fluctuations that could change from period to period and year to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costs consist primarily of the compensation we pay to our employees, including salaries, fringe benefits, the costs of hiring subcontractors, other project-related expenses and sales, general and administrative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we had approximately $644.4 million remaining of the Board’s repurchase authorization. On November 15, 2024, the Board approved an increase in our stock repurchase authorization to $1.0 billion. We intend to deploy future available cash towards dividends and stock repurchases consistent with our returns driven capital allocation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exited substantially all of our self-perform at-risk construction businesses. As part of our ongoing plan to improve profitability and maintain a reduced risk profile, we continuously evaluate our geographic exposure.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a transaction that transitioned the AECOM Capital team to a new third-party platform in the third quarter of fiscal 2024. Members of the legacy team continue to support AECOM Capital's investment vehicles pursuant to certain advisory agreements in a manner consistent with their historical responsibilities. </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two business acquisition consummated during the year ended September 30, 2025. There was one acquisition consummated during the year ended September 30, 2024 and there was no acquisition consummated during the year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business acquisitions have been accounted for as business combinations and the results of operations of the acquired companies have been included in our consolidated results since the dates of the acquisitions. Those results of operations were not material to our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Components of Income and Expense</w:t>
      </w:r>
    </w:p>
    <w:tbl>
      <w:tblPr>
        <w:tblW w:w="10203" w:type="dxa"/>
        <w:jc w:val="left"/>
        <w:tblInd w:w="0" w:type="dxa"/>
        <w:tblLayout w:type="fixed"/>
        <w:tblCellMar>
          <w:top w:w="28" w:type="dxa"/>
          <w:left w:w="28" w:type="dxa"/>
          <w:bottom w:w="28" w:type="dxa"/>
          <w:right w:w="28" w:type="dxa"/>
        </w:tblCellMar>
      </w:tblPr>
      <w:tblGrid>
        <w:gridCol w:w="1320"/>
        <w:gridCol w:w="1158"/>
        <w:gridCol w:w="116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Financial Data:</w:t>
            </w:r>
          </w:p>
        </w:tc>
        <w:tc>
          <w:tcPr>
            <w:tcW w:w="6558"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by providing planning, consulting, advisory, architectural and engineering design, construction management and program management services to public and private clients around the world. Our revenue consists of both services provided by our employees and pass-through revenues from subcontractors and other direct costs. We generally recognize revenue over time as performance obligations are satisfied and control over promised goods or services are transferred to our customers. We generally measure progress to completion using an input measure of total costs incurred divided by total costs expected to be incurred.</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reflects the cost of our own personnel (including fringe benefits and overhead expense) and fees from subcontractors and other direct costs associated with revenue.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 Earnings of Joint Ventures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Equity in earnings of joint ventures includes our portion of fees charged by our unconsolidated joint ventures to clients for services performed by us and other joint venture partners along with earnings we receive from our return on investments in unconsolidated joint ventures.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corporate expenses, including personnel, occupancy, and administrative expenses.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Restructuring and Acquisition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Restructuring and acquisition costs are comprised of personnel and other costs, real estate costs, and costs associated with business exits and acquisitions primarily related to actions that are expected to deliver continued margin expansion and operating efficiencies.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geographic financial information, please refer to Note 4 and Note 19 in the notes to our consolidated financial statements found elsewhere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accounting policies, including those described below, often require management to make significant estimates and assumptions using information available at the time the estimates are made. Such estimates and assumptions significantly affect various reported amounts of assets, liabilities, revenue and expenses. If future experience differs significantly from these estimates and assumptions, our results of operations and financial condition could be affected. Our most critical accounting policies and estimates are described below. We have not materially changed our estimation methodology during the period presented.</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accounting policies establish principles for recognizing revenue upon the transfer of control of promised goods or services to customers. We generally recognize revenues over time as performance obligations are satisfied. We generally measure our progress to completion using an input measure of total costs incurred divided by total costs expected to be incurred. In the course of providing these services, we routinely subcontract for services and incur other direct cost on behalf of our clients. These costs are passed through to clients and, in accordance with accounting rules, are included in our revenue and cost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recognition and profit is dependent upon a number of factors, including the accuracy of a variety of estimates made at the balance sheet date, such as engineering progress, material quantities, the achievement of milestones, penalty provisions, labor productivity and cost estimates. Additionally, we are required to make estimates for the amount of consideration to be received, including bonuses, awards, incentive fees, claims, unpriced change orders, penalties and liquidated damages. Variable consideration is included in the estimate of transaction price only to the extent that a significant reversal would not be probable. We continuously monitor factors that may affect the quality of our estimates, and material changes in estimates are disclosed accordingly.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Claims Recognition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Claims are amounts in excess of the agreed contract price (or amounts not included in the original contract price) that we seek to collect from customers or others for delays, errors in specifications and designs, contract terminations, change orders in dispute or unapproved contracts as to both scope and price or other causes of unanticipated additional costs. Judgment is required to estimate the amount, if any, of revenue to be recognized on claims. We record contract revenue related to claims only if it is probable that the claim will result in additional contract revenue and only to the extent that a significant reversal would not be probable. The amounts recorded, if material, are disclosed in the notes to the financial statements. Costs attributable to claims are treated as costs of contract performance as incurred.</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provide for income taxes in accordance with principles contained in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Under these principles, we recognize the amount of income tax payable or refundable for the current year and deferred tax assets and liabilities for the future tax consequences of events that have been recognized in our financial statements or tax returns.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measured using enacted tax rates in effect for the year in which those temporary differences are expected to be recovered or settled. The effect on deferred tax assets and liabilities of a change in tax rates is recognized in earnings in the period when the new rate is enacted. Deferred tax assets are evaluated for future realization and reduced by a valuation allowance if it is more likely than not that a portion will not be realized.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measure and recognize the amount of tax benefit that should be recorded for financial statement purposes for uncertain tax positions taken or expected to be taken in a tax return. With respect to uncertain tax positions, we evaluate the recognized tax benefits for recognition, measurement, derecognition, classification, interest and penalties, interim period accounting and disclosure requirements. Judgment is required in assessing the future tax consequences of events that have been recognized in our financial statements or tax returns.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Valuation Allowance.</w:t>
      </w:r>
      <w:r>
        <w:rPr>
          <w:color w:val="000000"/>
        </w:rPr>
        <w:t xml:space="preserve"> </w:t>
      </w:r>
      <w:r>
        <w:rPr>
          <w:rFonts w:ascii="Times New Roman;serif" w:hAnsi="Times New Roman;serif"/>
          <w:b w:val="false"/>
          <w:color w:val="000000"/>
          <w:sz w:val="20"/>
        </w:rPr>
        <w:t>Deferred income taxes are provided on the liability method whereby deferred tax assets and liabilities are established for the difference between the financial reporting and income tax basis of assets and liabilities, as well as for tax attributes such as operating loss and tax credit carryforwards. Deferred tax assets and liabilities are adjusted for the effects of changes in tax laws and tax rates on the date of enactment of such changes to laws and tax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are reduced by a valuation allowance when, in our opinion, it is more likely than not that some portion or all of the deferred tax assets may not be realized. The evaluation of the recoverability of the deferred tax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requires the Company to weigh all positive and negative evidence to reach a conclusion that it is more likely than not that all or some portion of the deferred tax assets will not be realized. The weight given to the evidence is commensurate with the extent to which it can be objectively verified. Whether a deferred tax asset may be realized requires considerable judgment by us. In considering the need for a valuation allowance, we consider a number of factors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carry-back is permitted under tax law, and prudent and feasible tax planning strategies that would be implemented, if necessary, to protect against the loss of the deferred tax asset that would otherwise expire. Whether a deferred tax asset will ultimately be realized is also dependent on varying factors, including, but not limited to, changes in tax laws and audits by tax jurisdictions in which we operate.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future changes in judgment regarding the realizability of our deferred tax assets lead us to determine that it is more likely than not that we will not realize all or part of our deferred tax asset in the future, we will record an additional valuation allowance. Conversely, if a valuation allowance exists and we determine that the ultimate realizability of all or part of the net deferred tax asset is more likely than not to be realized, then the amount of the valuation allowance will be reduced. This adjustment will increase or decrease income tax expense in the period of such determination.</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Undistributed Non-U.S. Earnings.</w:t>
      </w:r>
      <w:r>
        <w:rPr>
          <w:color w:val="000000"/>
        </w:rPr>
        <w:t xml:space="preserve"> </w:t>
      </w:r>
      <w:r>
        <w:rPr>
          <w:rFonts w:ascii="Times New Roman;serif" w:hAnsi="Times New Roman;serif"/>
          <w:b w:val="false"/>
          <w:color w:val="000000"/>
          <w:sz w:val="20"/>
        </w:rPr>
        <w:t>The results of our operations outside of the United States are consolidated for financial reporting; however, earnings from investments in non-U.S. operations are included in domestic U.S. taxable income only when actually or constructively received. No deferred taxes have been provided on the undistributed gross book-tax basis differences of our non-U.S. operations of approximately $1.1 billion because we have the ability to and intend to permanently reinvest these basis differences overseas. If we were to repatriate these basis differences, additional taxes could be due at that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continually explore initiatives to better align our tax and legal entity structure with the footprint of our non-U.S. operations and we recognize the tax impact of these initiatives, including changes in assessment of its uncertain tax positions, indefinite reinvestment exception assertions and realizability of deferred tax assets, earliest in the period when management believes all necessary internal and external approvals associated with such initiatives have been obtained, or when the initiatives are materially complete.</w:t>
      </w:r>
    </w:p>
    <w:p>
      <w:pPr>
        <w:pStyle w:val="TextBody"/>
        <w:bidi w:val="0"/>
        <w:spacing w:lineRule="auto" w:line="26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Professional Liability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carry professional liability insurance policies or self-insure for our initial layer of professional liability claims under our professional liability insurance policies and for a deductible for each claim even after exceeding the self-insured retention. We accrue for our portion of the estimated ultimate liability for the estimated potential incurred losses. We establish our estimate of loss for each potential claim in consultation with legal counsel handling the specific matters and based on historic trends taking into account recent events. We also use an outside actuarial firm to assist us in estimating our future claims exposure. It is possible that our estimate of loss may be revised based on the actual or revised estimate of liability of the claims.</w: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Fiscal year ended September 30, 2025 compared to the fiscal year ended September 30, 2024</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Consolidated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75"/>
        <w:gridCol w:w="1356"/>
        <w:gridCol w:w="1365"/>
        <w:gridCol w:w="211"/>
        <w:gridCol w:w="871"/>
        <w:gridCol w:w="109"/>
        <w:gridCol w:w="109"/>
        <w:gridCol w:w="109"/>
        <w:gridCol w:w="109"/>
        <w:gridCol w:w="211"/>
        <w:gridCol w:w="871"/>
        <w:gridCol w:w="109"/>
        <w:gridCol w:w="109"/>
        <w:gridCol w:w="109"/>
        <w:gridCol w:w="109"/>
        <w:gridCol w:w="211"/>
        <w:gridCol w:w="616"/>
        <w:gridCol w:w="109"/>
        <w:gridCol w:w="109"/>
        <w:gridCol w:w="109"/>
        <w:gridCol w:w="109"/>
        <w:gridCol w:w="380"/>
        <w:gridCol w:w="386"/>
        <w:gridCol w:w="271"/>
        <w:gridCol w:w="109"/>
        <w:gridCol w:w="109"/>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 from discontinued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36"/>
        <w:gridCol w:w="2219"/>
        <w:gridCol w:w="2233"/>
        <w:gridCol w:w="308"/>
        <w:gridCol w:w="308"/>
        <w:gridCol w:w="627"/>
        <w:gridCol w:w="118"/>
        <w:gridCol w:w="118"/>
        <w:gridCol w:w="118"/>
        <w:gridCol w:w="308"/>
        <w:gridCol w:w="308"/>
        <w:gridCol w:w="627"/>
        <w:gridCol w:w="109"/>
        <w:gridCol w:w="109"/>
        <w:gridCol w:w="159"/>
      </w:tblGrid>
      <w:tr>
        <w:trPr/>
        <w:tc>
          <w:tcPr>
            <w:tcW w:w="253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61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2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2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 from discontinued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1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2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2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for the year ended September 30, 2025 increased $34.1 million, or 0.2%, to $16,139.6 million as compared to $16,105.5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portion of revenue excluding pass-through revenues attributable to subcontractors increased for the year ended September 30, 2025. Underlying revenue excluding pass-through revenues increased across most of our end markets as a result of increased investment by large, publicly financed, global infrastructure programs including the Infrastructure Investment and Jobs Act in the U.S. and similar large programs in our largest end markets globally. Our Water end market has been benefiting from increased investment to address drought, flooding, emerging containment remediation, water storage, and clean and safe drinking water. Our Transportation end market has been benefitting from incremental investments across the globe to modernize transportation infrastructure and address growth and urbanization trends, while our Environment end market has been benefiting from infrastructure that requires permitting and compliance, and remediation as well as investments in energy. Our Facilities end market has been benefiting from positive public sector investment, trends in asset maintenance and repositioning as well as demand for modern, efficient facilities. The quantification of the impact of these trends by end market is noted within our Americas and International reportable segments discussion below, where applicable, and represents substantially all of our revenue change.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course of providing our services, we routinely subcontract for services and incur other direct costs on behalf of our clients. These costs are passed through to clients and, in accordance with industry practice and GAAP, are included in our revenue and cost of revenue. Because these pass-through revenues can change significantly from project to project and period to period, changes in revenue may not be indicative of business trends. Pass-through revenues for the years ended September 30, 2025 and 2024 were $8.6 billion and $8.9 billion, respectively. Pass-through revenue as a percentage of total revenue was 53% and 56% during the year ended September 30, 2025 and 2024, respectively.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 of revenue decreased to $14,922.9 million for the year ended September 30, 2025 compared to $15,021.2 million for the corresponding period last year, a decrease of $98.3 million, or 0.7%.</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Substantially all of the change in our cost of revenue for the year ended September 30, 2025 occurred in our Americas and International reportable segments, which is discussed in more detail below.</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gross profit for the year ended September 30, 2025 increased $132.4 million, or 12.2%, to $1,216.7 million as compared to $1,084.3 million for the corresponding period last year. For the year ended September 30, 2025, gross profit, as a percentage of revenue, increased to 7.5% from 6.7% in the year ended September 30,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changes were due to the reasons noted in Americas and International reportable segments below.</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 Earnings of Joint Ventures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equity in earnings of joint ventures for the year ended September 30, 2025 was $27.0 million as compared to $2.1 million in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equity in earnings of joint ventures for the year ended September 30, 2025 compared to the same period in the prior year was primarily due to impairment losses recorded by our AECOM Capital segment in fiscal 2024 that did not repeat in fiscal 2025.</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for the year ended September 30, 2025 decreased $2.3 million, or 1.4%, to $157.8 million as compared to $160.1 million for the corresponding period last year. For the year ended September 30, 2025, general and administrative expenses as a percentage of revenue decreased to 0.9% from 1.0%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year ended September 30, 2025 was primarily due to ongoing efforts to drive efficiencies and streamline operations.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Restructuring and Acquisition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and acquisition costs are comprised of personnel costs, real estate costs, and costs associated with business acquisitions and exits. During the fiscal year ended September 30, 2025, we incurred total restructuring expenses of $59.4 million primarily related to actions taken for acquisitions and optimizing our organization structure. During fiscal year ended September 30, 2024, we incurred total restructuring expenses of $98.9 million primarily related to costs incurred to continue to align our real estate portfolio with our employee flexibility initiatives, continue our exit of certain countries in Southeast Asia, drive support function efficiency, and reduce our risk profile.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other income for the year ended September 30, 2025 decreased to $10.5 million from $17.6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for the year ended September 30, 2025 was primarily due to the decrease in fair value of our investments measured at fair value.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interest income for the year ended September 30, 2025 increased to $62.9 million from $58.6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interest income for the year ended September 30, 2025 was primarily due to an increase in our interest-bearing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interest expense for the year ended September 30, 2025 was $184.3 million as compared to $185.4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year ended September 30, 2025 was primarily due to additional financing charges recorded in fiscal 2024 related to the New Credit Facilities, defined below, that did not repeat in the current fiscal year.</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income tax expense for the year ended September 30, 2025 was $204.0 million compared to $152.9 million for the year ended September 30, 2024. The increase in tax expense for the current period compared to the corresponding period last year was due primarily to the tax impact of an increase in pre-tax income of $197.4 million, an increase in tax expense of $28.1 million related to changes in uncertain tax positions, an increase in tax expense of $24.6 million related to state income taxes, a reduction in tax expense of $20.2 million related to the sale of ACAP investments in fiscal 2024, and a tax benefit of $20.1 million related to deferred tax assets recognized due to legal entity restructuring implemented in fiscal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we recorded a reserve of $47.0 million related to uncertain tax positions associated with federal and state tax credits claimed for years subject to examination by the tax authorities. The reserve reflects our assessment that it is more likely than not that a portion of the credits may not be sustained under examination based on recent discussions and developments related to our ongoing audits.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we recognized deferred tax assets of $20.1 million related to legal entity restructuring. The restructuring resulted in the recognition of deferred tax assets related to tax attributes that are expected to be utilized against future taxable income.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we recorded an increase in tax benefit of $38.4 million related to state income taxes due to apportionment factor changes for fiscal years 2016 through 2023. This benefit was partially offset by an increase in tax expense of $23.0 million related to uncertain tax positions.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we sold certain ACAP investments and recorded a reduction in valuation allowances of $21.0 million and a reduction in deferred tax assets of $20.2 million. In addition, we recorded a valuation allowance of $9.3 million related to the remaining ACAP investments.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2024, we approved a tax planning strategy and restructured certain operations in Canada which resulted in a release of a valuation allowance related to net operating losses and other deferred tax assets of $11.7 million.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we settled the tax audit in Hong Kong for fiscal year 2011 through fiscal year 2021 and recorded a tax benefit of $6.9 million due primarily to changes in uncertain tax positions.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2023, valuation allowances in the amount of $21.0 million related to the ACAP impairment charge were established for the portion of the charge that is not expected to be realized.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OECD has introduced the Base Erosion and Profit Shifting (BEPS) 2.0 framework which includes Pillar 2. Pillar 2 introduces a 15% global minimum tax for large multinational enterprises in each of the jurisdictions that they operate. Many countries have enacted the Pillar 2 global minimum tax regime including some countries where we operate. The implementation of Pillar 2 does not have a material impact on our consolidated financial statements for fiscal 2025. The company is actively monitoring developments related to Pillar 2 and will continue to assess the impact.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One Big Beautiful Bill Act which permanently extends many provisions of the Tax Cuts and Jobs Act of 2017 and introduces new tax provisions relevant for multinational businesses. Most of the new provisions take effect starting in fiscal 2026. Based on our assessment, we do not expect the legislation to have a material impact on our consolidated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under tax audit in several jurisdictions including the U.S. where our federal income tax returns for fiscal 2017 through 2020 are being examined by the IRS. Disputes can arise with tax authorities involving issues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timing of deductions, the calculation and use of credits, and the taxation of income in various tax jurisdictions because of differing interpretations or application of tax laws, regulations, and relevant facts. The IRS is currently auditing certain tax credits and the methodology for calculating the credits. We will continue to monitor developments related to the examination and will adjust the reserve as necessary based on changes in facts and circumstances, including the resolution of the audit.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integrate and consolidate our business operations and legal entity structure, and such internal initiatives could impact the assessment of uncertain tax positions, indefinite reinvestment assertions and the realizability of deferred tax assets.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Net Loss From Discontinued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2020, management approved a plan to dispose of via sale our self-perform at-risk construction businesses. As a result of these strategic actions, the self-perform at-risk construction businesses were classified as discontinued operations.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loss from discontinued operations was $75.4 million for the year ended September 30, 2025 compared to $105.0 million for the year ended September 30, 2024, a decrease of $29.6 million.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net loss from discontinued operations for the year ended September 30, 2025 was primarily due to the settlement of contingent consideration related to the sale of our civil infrastructure construction business in fiscal 2024 that did not recur in fiscal 2025 partially offset by a revision to estimated recoveries on a refinery turnaround project resulting from unfavorable court orders that occurred in fiscal 2025.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Net Income Attributable to AECOM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factors described above resulted in the net income attributable to AECOM of $561.8 million for the year ended September 30, 2025, as compared to the net income attributable to AECOM of $402.3 million for the year ended September 30, 2024.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Results of Operations by Reportable Segment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Americas</w:t>
      </w:r>
    </w:p>
    <w:tbl>
      <w:tblPr>
        <w:tblW w:w="6847" w:type="dxa"/>
        <w:jc w:val="left"/>
        <w:tblInd w:w="0" w:type="dxa"/>
        <w:tblLayout w:type="fixed"/>
        <w:tblCellMar>
          <w:top w:w="28" w:type="dxa"/>
          <w:left w:w="28" w:type="dxa"/>
          <w:bottom w:w="28" w:type="dxa"/>
          <w:right w:w="28" w:type="dxa"/>
        </w:tblCellMar>
      </w:tblPr>
      <w:tblGrid>
        <w:gridCol w:w="504"/>
        <w:gridCol w:w="444"/>
        <w:gridCol w:w="446"/>
        <w:gridCol w:w="211"/>
        <w:gridCol w:w="871"/>
        <w:gridCol w:w="109"/>
        <w:gridCol w:w="109"/>
        <w:gridCol w:w="109"/>
        <w:gridCol w:w="109"/>
        <w:gridCol w:w="211"/>
        <w:gridCol w:w="871"/>
        <w:gridCol w:w="109"/>
        <w:gridCol w:w="109"/>
        <w:gridCol w:w="109"/>
        <w:gridCol w:w="109"/>
        <w:gridCol w:w="211"/>
        <w:gridCol w:w="616"/>
        <w:gridCol w:w="109"/>
        <w:gridCol w:w="109"/>
        <w:gridCol w:w="109"/>
        <w:gridCol w:w="109"/>
        <w:gridCol w:w="254"/>
        <w:gridCol w:w="257"/>
        <w:gridCol w:w="271"/>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4619" w:type="dxa"/>
        <w:jc w:val="center"/>
        <w:tblInd w:w="0" w:type="dxa"/>
        <w:tblLayout w:type="fixed"/>
        <w:tblCellMar>
          <w:top w:w="28" w:type="dxa"/>
          <w:left w:w="28" w:type="dxa"/>
          <w:bottom w:w="28" w:type="dxa"/>
          <w:right w:w="28" w:type="dxa"/>
        </w:tblCellMar>
      </w:tblPr>
      <w:tblGrid>
        <w:gridCol w:w="504"/>
        <w:gridCol w:w="444"/>
        <w:gridCol w:w="446"/>
        <w:gridCol w:w="308"/>
        <w:gridCol w:w="308"/>
        <w:gridCol w:w="632"/>
        <w:gridCol w:w="119"/>
        <w:gridCol w:w="119"/>
        <w:gridCol w:w="119"/>
        <w:gridCol w:w="308"/>
        <w:gridCol w:w="308"/>
        <w:gridCol w:w="632"/>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for our Americas segment for the year ended September 30, 2025 increased $40.2 million, or 0.3%, to $12,525.9 million as compared to $12,485.7 million for the corresponding period last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Pass-through revenues on contracts for which we subcontract work on behalf of our clients decreased $307.4 million for the year ended September 30, 2025 compared to the corresponding period last year. Revenue from increased project activity in the Americas included growth in our Transportation end market of $261.1 million, or 11.7%, and our Water and Environment end markets of $127.4 million, or 6.0%, offset by a decrease in our Facilities end market of $344.7 million, or 4.3%, compared to the corresponding period last year.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for our Americas segment for the year ended September 30, 2025 decreased by $82.8 million, or 0.7%, to $11,643.8 million compared to $11,726.6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cost of revenue for the year ended September 30, 2025 was primarily due to the decreases in subcontractor and other direct costs offset by increased project activity.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for our Americas segment for the year ended September 30, 2025 increased $123.0 million, or 16.2%, to $882.1 million as compared to $759.1 million for the corresponding period last year. As a percentage of revenue, gross profit increased to 7.0% of revenue for the year ended September 30, 2025 from 6.1% in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for the year ended September 30, 2025 was primarily due to the benefit from restructuring actions taken last year, growth in enterprise capability centers, ongoing continuous improvement initiatives, and growth in higher margin advisory services.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International</w:t>
      </w:r>
    </w:p>
    <w:tbl>
      <w:tblPr>
        <w:tblW w:w="6607" w:type="dxa"/>
        <w:jc w:val="left"/>
        <w:tblInd w:w="0" w:type="dxa"/>
        <w:tblLayout w:type="fixed"/>
        <w:tblCellMar>
          <w:top w:w="28" w:type="dxa"/>
          <w:left w:w="28" w:type="dxa"/>
          <w:bottom w:w="28" w:type="dxa"/>
          <w:right w:w="28" w:type="dxa"/>
        </w:tblCellMar>
      </w:tblPr>
      <w:tblGrid>
        <w:gridCol w:w="504"/>
        <w:gridCol w:w="444"/>
        <w:gridCol w:w="446"/>
        <w:gridCol w:w="221"/>
        <w:gridCol w:w="804"/>
        <w:gridCol w:w="114"/>
        <w:gridCol w:w="109"/>
        <w:gridCol w:w="109"/>
        <w:gridCol w:w="109"/>
        <w:gridCol w:w="221"/>
        <w:gridCol w:w="804"/>
        <w:gridCol w:w="114"/>
        <w:gridCol w:w="109"/>
        <w:gridCol w:w="109"/>
        <w:gridCol w:w="109"/>
        <w:gridCol w:w="211"/>
        <w:gridCol w:w="511"/>
        <w:gridCol w:w="109"/>
        <w:gridCol w:w="109"/>
        <w:gridCol w:w="109"/>
        <w:gridCol w:w="109"/>
        <w:gridCol w:w="239"/>
        <w:gridCol w:w="241"/>
        <w:gridCol w:w="271"/>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4619" w:type="dxa"/>
        <w:jc w:val="center"/>
        <w:tblInd w:w="0" w:type="dxa"/>
        <w:tblLayout w:type="fixed"/>
        <w:tblCellMar>
          <w:top w:w="28" w:type="dxa"/>
          <w:left w:w="28" w:type="dxa"/>
          <w:bottom w:w="28" w:type="dxa"/>
          <w:right w:w="28" w:type="dxa"/>
        </w:tblCellMar>
      </w:tblPr>
      <w:tblGrid>
        <w:gridCol w:w="504"/>
        <w:gridCol w:w="444"/>
        <w:gridCol w:w="446"/>
        <w:gridCol w:w="308"/>
        <w:gridCol w:w="308"/>
        <w:gridCol w:w="632"/>
        <w:gridCol w:w="119"/>
        <w:gridCol w:w="119"/>
        <w:gridCol w:w="119"/>
        <w:gridCol w:w="308"/>
        <w:gridCol w:w="308"/>
        <w:gridCol w:w="632"/>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for our International segment for the year ended September 30, 2025 decreased $5.2 million, or 0.1%, to $3,613.2 million as compared to $3,618.4 million for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for the year ended September 30, 2025 decreased primarily due to a $66.3 million decrease in pass-through revenues on contracts for which we subcontract work on behalf of our client compared to the corresponding period in the prior year. The decrease in revenue was primarily attributable to a $67.9 million, or 5.2%, decrease in our Transportation end market, partially offset by growth in our Water and Environment end market of $40.2 million, or 5.2%, and in our Transportation end market of $18.8 million, or 1.3%, compared to the corresponding period last year, which have benefited from the end market trends discussed in the consolidated revenue section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International segment for the year ended September 30, 2025 decreased $15.5 million, or 0.5%, to $3,279.1 million as compared to $3,294.6 million for the corresponding period last year.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cost of revenue for the year ended September 30, 2025 was primarily due to a decrease compared to the corresponding period in the prior year of subcontractor and other direct costs of $66.3 million, partially offset by increased project activity.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for our International segment for the year ended September 30, 2025 increased $10.3 million, or 3.2%, to $334.1 million as compared to $323.8 million for the corresponding period last year. As a percentage of revenue, gross profit increased to 9.2% of revenue for the year ended September 30, 2025 from 8.9% in the corresponding period last year.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and gross profit as a percentage of revenue for the year ended September 30, 2025 were primarily due to benefits from restructuring actions taken last year, ongoing exits from lower margin countries, growth in the enterprise capability centers, and continuous improvement initiatives.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AECOM Capital</w:t>
      </w:r>
    </w:p>
    <w:tbl>
      <w:tblPr>
        <w:tblW w:w="8409" w:type="dxa"/>
        <w:jc w:val="left"/>
        <w:tblInd w:w="0" w:type="dxa"/>
        <w:tblLayout w:type="fixed"/>
        <w:tblCellMar>
          <w:top w:w="28" w:type="dxa"/>
          <w:left w:w="28" w:type="dxa"/>
          <w:bottom w:w="28" w:type="dxa"/>
          <w:right w:w="28" w:type="dxa"/>
        </w:tblCellMar>
      </w:tblPr>
      <w:tblGrid>
        <w:gridCol w:w="1117"/>
        <w:gridCol w:w="985"/>
        <w:gridCol w:w="988"/>
        <w:gridCol w:w="324"/>
        <w:gridCol w:w="647"/>
        <w:gridCol w:w="168"/>
        <w:gridCol w:w="109"/>
        <w:gridCol w:w="109"/>
        <w:gridCol w:w="109"/>
        <w:gridCol w:w="265"/>
        <w:gridCol w:w="737"/>
        <w:gridCol w:w="137"/>
        <w:gridCol w:w="109"/>
        <w:gridCol w:w="109"/>
        <w:gridCol w:w="109"/>
        <w:gridCol w:w="211"/>
        <w:gridCol w:w="511"/>
        <w:gridCol w:w="109"/>
        <w:gridCol w:w="109"/>
        <w:gridCol w:w="109"/>
        <w:gridCol w:w="109"/>
        <w:gridCol w:w="293"/>
        <w:gridCol w:w="293"/>
        <w:gridCol w:w="271"/>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joint ventures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losses of joint ventures for the year ended September 30, 2025 was $0.5 million compared to a loss of $26.9 million for the corresponding period last year. The change in equity in losses of joint ventures for the year ended September 30, 2025 was primarily due to impairment losses of $35.9 million recognized in the fiscal 2024 that did not repeat in fiscal 2025.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of $6.0 million in general and administrative expenses for the year ended September 30, 2025 compared to the corresponding period last year was due to nonrecurring expenses related to the evaluation of strategic options and the transition of the AECOM Capital business to a third-party platform that occurred in fiscal year 2024 but did not repeat in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cash flows from operations, borrowings under our credit facilities, and access to financial markets. Our principal uses of cash are operating expenses, capital expenditures, working capital requirements, acquisitions, repurchases of common stock, dividend payments, and refinancing or repayment of debt. We believe our anticipated sources of liquidity including operating cash flows, existing cash and cash equivalents, borrowing capacity under our revolving credit facility and our ability to issue debt or equity, if required, will be sufficient to meet our projected cash requirements for at least the next twelve months. We expect to spend approximately $45 million for restructuring in fiscal 2026 associated with restructuring actions taken in prior periods that are expected to deliver continued margin improvement and efficiencies.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we do not provide for U.S. taxes or foreign withholding taxes on gross book-tax basis differences in our non-U.S. subsidiaries because such basis differences are able to and intended to be reinvested indefinitely. At September 30, 2025, we have determined that we will continue to indefinitely reinvest the earnings of some foreign subsidiaries and, therefore, we will continue to account for these undistributed earnings based on our existing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ASC 740 and not accrue additional tax. Determination of the amount of any unrecognized deferred income tax liability on this temporary difference is not practicable because of the complexities of the hypothetical calculation. Based on the available sources of cash flows discussed above, we anticipate we will continue to have the ability to permanently reinvest these remaining amounts.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cash and cash equivalents were $1,585.7 million, an increase of $0.9 million, or 0.1%, from $1,584.9 million at September 30, 2024, which included cash and cash equivalents included in current assets held for sale in fiscal year 2024.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$821.6 million for the year ended September 30, 2025 as compared to $827.5 million for the year ended September 30, 2024. The change was primarily attributable to an increase in net income of approximately $176.0 million and cash provided by changes in working capital of $8.3 million, offset by a decrease in adjustments for non-cash items of approximately $190.1 million. The sale of trade receivables to financial institutions included in operating cash flows decreased $38.0 million during the year ended September 30, 2025 compared to the year ended September 30, 2024. We expect to continue to sell trade receivables in the future as long as the terms continue to remain favorable to 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$413.2 million for the year ended September 30, 2025, as compared to $210.6 million for the year ended September 30, 2024. The change was primarily attributable to cash payments for business acquisitions, net of cash acquired, of $212.5 million in fiscal year 2025 compared to $18.7 million in fiscal year 2024.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$403.7 million for the year ended September 30, 2025, as compared to $295.5 million for the year ended September 30, 2024. The change from the prior year was primarily attributable to $320.1 million in net cash proceeds pursuant to Amendment No. 14 of the Credit Agreement that occurred in the third quarter of fiscal 2024, partially offset by the $191.3 million of net additional borrowings in fiscal year 2025 from the issuance of the 2033 Senior Notes and the redemption of the 2027 Senior Notes. Total borrowings under our Credit Agreement may vary during the period as we regularly draw and repay amounts to fund working capital.</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Working capital, or current assets less current liabilities, decreased $119.7 million, or 17.6%, to $801.4 million at September 30, 2025 from $681.7 million at September 30, 2024. Net accounts receivable and contract assets, net of contract liabilities, decreased to $3,194.4 million at September 30, 2025 from $3,301.4 million at September 30, 2024.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Days Sales Outstanding (DSO), which includes net accounts receivable and contract assets, net of contract liabilities, was 74 days at September 30, 2025 compared to 70 days at September 30,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Note 4, Revenue Recognition, in the notes to our consolidated financial statements, a comparative analysis of the various components of accounts receivable is provided. Except for claims, substantially all contract assets are expected to be billed and collected within twelve months.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related to claims are recorded only if it is probable that the claim will result in additional contract revenue and if the amount can be reliably estimated. In such cases, revenue is recorded only to the extent that contract costs relating to the claim have been incurred. Award fees in contract assets are accrued only when there is sufficient information to assess contract performance. On contracts that represent higher than normal risk or technical difficulty, award fees are generally deferred until an award fee letter is received.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our revenue depends to a great extent on billable labor hours, most of our charges are invoiced following the end of the month in which the hours were worked, the majority usually within 15 days. Other direct costs are normally billed along with labor hours. However, as opposed to salary costs, which are generally paid on either a bi-weekly or monthly basis, other direct costs are generally not paid until payment is received (in some cases in the form of advances) from the customers.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7286" w:type="dxa"/>
        <w:jc w:val="center"/>
        <w:tblInd w:w="0" w:type="dxa"/>
        <w:tblLayout w:type="fixed"/>
        <w:tblCellMar>
          <w:top w:w="28" w:type="dxa"/>
          <w:left w:w="28" w:type="dxa"/>
          <w:bottom w:w="28" w:type="dxa"/>
          <w:right w:w="28" w:type="dxa"/>
        </w:tblCellMar>
      </w:tblPr>
      <w:tblGrid>
        <w:gridCol w:w="1678"/>
        <w:gridCol w:w="1474"/>
        <w:gridCol w:w="1483"/>
        <w:gridCol w:w="221"/>
        <w:gridCol w:w="804"/>
        <w:gridCol w:w="114"/>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2,450.3 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our debt as of September 30, 2025:</w:t>
      </w:r>
    </w:p>
    <w:tbl>
      <w:tblPr>
        <w:tblW w:w="240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19, 2024, we entered into Amendment No. 14 to Syndicated Facility Agreement (as amended, modified or otherwise supplemented, the “Credit Agreement”), pursuant to which we obtained a new $1,500,000,000 revolving credit facility (the “New Revolving Credit Facility”), a new $750,000,000 term loan A facility (the “New Term A Facility” and, together with the New Revolving Credit Facility, the “New Pro Rata Facilities”) and a new $700,000,000 term loan B facility (the “New Term B Facility” and, together with the New Pro Rata Facilities, the “New Credit Facilities”). The New Revolving Credit Facility and the New Term A Facility mature on April 19, 2029. The New Term B Facility matures on April 19, 2031. The New Term A Facility and the New Term B Facility were borrowed in full on April 19, 2024 in U.S. dollars. Loans under the New Revolving Credit Facility may be borrowed, and letters of credit thereunder may be issued, in U.S. dollars or in certain foreign currencies. The New Credit Facilities replace in full our then-existing revolving credit facility, term loan A facility and term loan B facility, and borrowings under the New Credit Facilities were used to refinance in full our existing credit facilities and for general corporate purposes. The Credit Agreement permits us to designate certain of our subsidiaries as additional co-borrowers from time to time. Currently, there are no co-borrowers under the New Credit Facilities. On October 29, 2024, we entered into Amendment No. 15 to Syndicated Facility Agreement, pursuant to which we reduced the interest rate spread applicable to our New Term B Facility.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(a) the New Revolving Credit Facility (in U.S. dollars) and the New Term A Facility bear interest at a rate per annum equal to, at our option, (i) a Term SOFR rate (with a 0% floor and SOFR adjustment of 0.10%) or (ii) a base rate (with a 0% floor), in each case, as of September 30, 2025 plus an applicable margin of 1.225% in the case of the Term SOFR rate and 0.225% in the case of the base rate, and (b) the New Revolving Credit Facility in currencies other than U.S. dollars bear interest at a rate per annum equal to the applicable reference rate for such currency (including any related adjustments), plus an applicable margin of 1.225%. The applicable margin is subject, in each case, to adjustment based on the Company’s consolidated leverage ratio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New Term B Facility, after giving effect to Amendment No. 15 to Syndicated Facility Agreement, bear interest at a rate per annum equal to, at our option, (a) a Term SOFR rate (with a 0% floor and a SOFR adjustment of 0%) or (b) a base rate (with a 0% floor), in each case, plus an applicable margin of 1.75% in the case of the Term SOFR rate and 0.75% in the case of the base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material subsidiaries (the “Guarantors”) have guaranteed our obligations of the borrowers under the Credit Agreement, subject to certain exceptions. The borrowers’ obligations under the Credit Agreement are secured by a lien on substantially all of our assets and the Guarantors’ assets, subject to certain exceptions.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negative covenants that include, among other things, limitations on our ability and certain of our subsidiaries, subject to certain exceptions, to incur liens and debt, make investments, dispositions, and restricted payments, change the nature of our business, consummate mergers, consolidations and the sale of all or substantially all of our respective assets and transact with affiliates. We are also required to maintain a consolidated leverage ratio of less than or equal to 4.00 to 1.00 (subject to certain adjustments in connection with permitted acquisitions), tested on a quarterly basis (the “Financial Covenant”). The Financial Covenant does not apply to the New Term B Facility. As of September 30, 2025, we were in compliance with the covenants of the Credit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covenants, including, among other things, compliance with applicable law, preservation of existence, maintenance of properties and of insurance, and keeping proper books and records. The Credit Agreement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September 30, 2024, letters of credit totaled $4.4 million and $4.4 million, respectively, under our New Revolving Credit Facility. As of September 30, 2025 and September 30, 2024, we had $1,495.6 million and $1,495.6 million, respectively, available under our New Revolving Credit Facility.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2017, we completed a private placement offering of $1,000,000,000 aggregate principal amount of our unsecured 5.125% Senior Notes due 2027 (the “2027 Senior Notes”). On June 30, 2017, we completed an exchange offer to exchange the unregistered 2027 Senior Notes for registered notes, as well as related guarantees. In July 2025, we used a portion of the proceeds of the 2033 Senior Notes (defined below) to purchase $732,914,000 in principal amount of the 2027 Senior Notes that were validly tendered and not validly withdrawn at or prior to the expiration date of our tender offer for the 2027 Senior Notes. In August 2025, we redeemed the remaining 2027 Senior Notes with a portion of the proceeds of the 2033 Senior Notes. The purchase and redemption included an aggregate make-whole payment of $9.1 million.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2025, we completed an offering of $1,200,000,000 aggregate principal amount of our 6.000% Senior Notes due 2033 (the “2033 Senior Notes”). As of September 30, 2025, the estimated fair value of the 2033 Senior Notes was approximately $1,227.0 million. The fair value of the 2033 Senior Notes as of September 30, 2025 was derived by taking the mid-point of the trading prices from an observable market input (Level 2) in the secondary bond market and multiplying it by the outstanding balance of the 2033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will be payable on the 2033 Senior Notes at a rate of 6.000% per annum. Interest on the 2033 Senior Notes will be payable semi-annually in arrears on February 1 and August 1 of each year, commencing on February 1, 2026. The 2033 Senior Notes will mature on August 1, 2033.</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August 1, 2028, we may redeem all or part of the 2033 Senior Notes at a redemption price equal to 100% of the principal amount to be redeemed, plus a “make whole” premium as of the redemption date, and accrued and unpaid interest to, but excluding, the redemption date. In addition, prior to August 1, 2028, we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we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2790" w:type="dxa"/>
        <w:jc w:val="center"/>
        <w:tblInd w:w="0" w:type="dxa"/>
        <w:tblLayout w:type="fixed"/>
        <w:tblCellMar>
          <w:top w:w="28" w:type="dxa"/>
          <w:left w:w="28" w:type="dxa"/>
          <w:bottom w:w="28" w:type="dxa"/>
          <w:right w:w="28" w:type="dxa"/>
        </w:tblCellMar>
      </w:tblPr>
      <w:tblGrid>
        <w:gridCol w:w="612"/>
        <w:gridCol w:w="537"/>
        <w:gridCol w:w="545"/>
        <w:gridCol w:w="321"/>
        <w:gridCol w:w="321"/>
        <w:gridCol w:w="4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103.000%</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101.500%</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contains customary events of default, including, among other things, payment default, failure to provide certain notices thereunder and certain provisions related to bankruptcy events. The indenture also contains customary negative covenants.`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debt consists primarily of obligations under capital leases and loans and unsecured credit facilities. The unsecured credit facilities are primarily used for standby letters of credit issued in connection with general and professional liability insurance programs and for contract performance guarantees. At September 30, 2025 and September 30, 2024, these outstanding standby letters of credit totaled $899.4 million and $934.5 million. As of September 30, 2025, we had $367.4 million available under these unsecured credit facilities.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average effective interest rate on our total debt, including the effects of the interest rate swap and interest rate cap agreements, during the years ended September 30, 2025, 2024 and 2023 was 5.1%, 5.6% and 5.3%,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years ended September 30, 2025, 2024 and 2023 of $7.4 million, $7.6 million and $4.9 million, respectively.</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various joint venture arrangements to provide architectural, engineering, program management, construction management and operations and maintenance services. The ownership percentage of these joint ventures is typically representative of the work to be performed or the amount of risk assumed by each joint venture partner. Some of these joint ventures are considered variable interest entities. We have consolidated all joint ventures for which we have control. For all others, our portion of the earnings is recorded in equity in earnings of joint ventures. See Note 6, Joint Ventures and Variable Interest Entities, in the notes to our consolidated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normal property and equipment additions and replacements, expenditures to further the implementation of our various information technology systems, commitments under our incentive compensation programs, amounts we may expend to repurchase stock under our stock repurchase program and acquisitions from time to time and disposition costs, we currently do not have any significant capital expenditures or outlays planned except as described below. However, if we acquire additional businesses in the future or if we embark on other capital-intensive initiatives, additional working capital may be required.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secured revolving credit facility and other facilities discussed in Other Debt and Other Items above, as of September 30, 2025, there was approximately $903.8 million including both continuing and discontinued operations, outstanding under standby letters of credit primarily issued in connection with general and professional liability insurance programs and for contract performance guarantees. For those projects for which we have issued a performance guarantee, if the project subsequently fails to meet guaranteed performance standards, we may either incur significant additional costs or be held responsible for the costs incurred by the client to achieve the required performance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on our balance sheet the funded status of our pension benefit plans, measured as the difference between the fair value of plan assets and the projected benefit obligation. At September 30, 2025, our defined benefit pension plans had an aggregate deficit (the excess of projected benefit obligations over the fair value of plan assets) of approximately $89.4 million. The total amounts of employer contributions paid for the year ended September 30, 2025 were $10.6 million for U.S. plans and $23.7 million for non-U.S. plans. Funding requirements for each plan are determined based on the local laws of the country where such plan resides. In some countries, the funding requirements are mandatory while in other countries, they are discretionary. There is a required minimum contribution for one of our domestic plans; however, we may make additional discretionary contributions. In the future, such pension funding may increase or decrease depending on changes in the levels of interest rates, pension plan performance and other factors. In addition,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collective bargaining agreements with unions that require us to contribute to various third-party multiemployer plans that we do not control or manage. For the year ended September 30, 2025, we contributed $2.7 million to multiemployer pension plans.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Condensed Combined Financial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2027 Senior Notes are fully and unconditionally guaranteed on a joint and several basis by some of AECOM’s directly and indirectly 100% owned subsidiaries (the Subsidiary Guarantors). Accordingly, AECOM became subject to the requirements of Rule 3-10 of Regulation S-X, as amended, regarding financial statements of guarantors and issuers of guaranteed securities. Other than customary restrictions imposed by applicable statutes, there are no restrictions on the ability of the Subsidiary Guarantors to transfer funds to AECOM in the form of cash dividends, loans or advances.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condensed combined summarized financial information for AECOM and the Subsidiary Guarantors. All intercompany balances and transactions are eliminated in the presentation of the combined financial statements. Amounts provided do not represent our total consolidated amounts as of September 30, 2025 and for the twelve months then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(unaudited - in millions)</w:t>
      </w:r>
    </w:p>
    <w:tbl>
      <w:tblPr>
        <w:tblW w:w="5024" w:type="dxa"/>
        <w:jc w:val="center"/>
        <w:tblInd w:w="0" w:type="dxa"/>
        <w:tblLayout w:type="fixed"/>
        <w:tblCellMar>
          <w:top w:w="28" w:type="dxa"/>
          <w:left w:w="28" w:type="dxa"/>
          <w:bottom w:w="28" w:type="dxa"/>
          <w:right w:w="28" w:type="dxa"/>
        </w:tblCellMar>
      </w:tblPr>
      <w:tblGrid>
        <w:gridCol w:w="1242"/>
        <w:gridCol w:w="1092"/>
        <w:gridCol w:w="1101"/>
        <w:gridCol w:w="296"/>
        <w:gridCol w:w="1077"/>
        <w:gridCol w:w="216"/>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5,956.6 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(unaudited - in millions)</w:t>
      </w:r>
    </w:p>
    <w:tbl>
      <w:tblPr>
        <w:tblW w:w="7034" w:type="dxa"/>
        <w:jc w:val="center"/>
        <w:tblInd w:w="0" w:type="dxa"/>
        <w:tblLayout w:type="fixed"/>
        <w:tblCellMar>
          <w:top w:w="28" w:type="dxa"/>
          <w:left w:w="28" w:type="dxa"/>
          <w:bottom w:w="28" w:type="dxa"/>
          <w:right w:w="28" w:type="dxa"/>
        </w:tblCellMar>
      </w:tblPr>
      <w:tblGrid>
        <w:gridCol w:w="1198"/>
        <w:gridCol w:w="1056"/>
        <w:gridCol w:w="1060"/>
        <w:gridCol w:w="694"/>
        <w:gridCol w:w="2520"/>
        <w:gridCol w:w="506"/>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 months ended September 30,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9,458.6 </w:t>
            </w:r>
          </w:p>
        </w:tc>
        <w:tc>
          <w:tcPr>
            <w:tcW w:w="50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9,011.7 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3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3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AECOM </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amounts representing our probable estimated liabilities relating to claims, guarantees, litigation, audits and investigations. We rely in part on qualified actuaries to assist us in determining the level of reserves to establish for insurance-related claims that are known and have been asserted against us, and for insurance-related claims that are believed to have been incurred based on actuarial analysis, but have not yet been reported to our claims administrators as of the respective balance sheet dates. We include any adjustments to such insurance reserves in our consolidated results of operations. Our reasonably possible loss disclosures are presented on a gross basis prior to the consideration of insurance recoveries. We do not record gain contingencies until they are realized. In the ordinary course of business, we may not be aware that we or our affiliates are under investigation and may not be aware of whether or not a known investigation has been concluded.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enter into various arrangements providing financial or performance assurance to clients, lenders, or partners. Such arrangements include standby letters of credit, surety bonds, and corporate guarantees to support the creditworthiness or the project execution commitments of its affiliates, partnerships and joint ventures. The Company’s unsecured credit arrangements are used for standby letters of credit issued in connection with general and professional liability insurance programs and for contract performance guarantees. At September 30, 2025 and 2024, these outstanding standby letters of credit totaled $899.4 million and $934.5 million, respectively. As of September 30, 2025, the Company had $367.4 million available under these unsecured credit facilities. Performance arrangements typically have various expiration dates ranging from the completion of the project contract and extending beyond contract completion in some circumstances such as for warranties. The Company may also guarantee that a project, when complete, will achieve specified performance standards. If the project subsequently fails to meet guaranteed performance standards, the Company may incur additional costs, pay liquidated damages or be held responsible for the costs incurred by the client to achieve the required performance standards. The potential payment amount of an outstanding performance arrangement is typically the remaining cost of work to be performed by or on behalf of third parties. Generally, under joint venture arrangements, if a partner is financially unable to complete its share of the contract, the other partner(s) may be required to complete those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we were contingently liable in the amount of approximately $903.8 million in issued standby letters of credit and $5.6 billion in issued surety bonds primarily to support project execution.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various agreements providing financial or performance assurances to clients on behalf of certain unconsolidated partnerships, joint ventures and other jointly executed contracts. These agreements are entered into primarily to support the project execution commitments of these entities.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adviser jointly manages and sponsors the AECOM-Canyon Equity Fund, L.P. (the “Fund”), in which we indirectly hold an equity interest and have an ongoing capital commitment to fund investments. At September 30, 2025, the Company has capital commitments of $5.1 million to the Fund over the next three years.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investment activities of AECOM Capital, we provide guarantees of certain contractual obligations, including guarantees for completion of projects, limited debt repayment, environmental indemnity obligations and other lender required guarantees.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2024, we were informed of a potential liability as one of the indemnitors on a divested business’ surety bonds. We do not have sufficient information to determine the range of potential impacts, however, it is reasonably possible that we may incur additional costs related to these bonds.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resolution of contingencies related to the sale of the civil infrastructure construction business, we agreed to act as an additional guarantor on the counterparty’s existing debt, which was extended to March 2028.</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contractual obligations and commercial commitments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27"/>
        <w:gridCol w:w="1060"/>
        <w:gridCol w:w="1065"/>
        <w:gridCol w:w="109"/>
        <w:gridCol w:w="109"/>
        <w:gridCol w:w="109"/>
        <w:gridCol w:w="211"/>
        <w:gridCol w:w="766"/>
        <w:gridCol w:w="109"/>
        <w:gridCol w:w="109"/>
        <w:gridCol w:w="109"/>
        <w:gridCol w:w="109"/>
        <w:gridCol w:w="211"/>
        <w:gridCol w:w="616"/>
        <w:gridCol w:w="109"/>
        <w:gridCol w:w="109"/>
        <w:gridCol w:w="109"/>
        <w:gridCol w:w="109"/>
        <w:gridCol w:w="220"/>
        <w:gridCol w:w="643"/>
        <w:gridCol w:w="113"/>
        <w:gridCol w:w="109"/>
        <w:gridCol w:w="109"/>
        <w:gridCol w:w="109"/>
        <w:gridCol w:w="211"/>
        <w:gridCol w:w="766"/>
        <w:gridCol w:w="109"/>
        <w:gridCol w:w="109"/>
        <w:gridCol w:w="109"/>
        <w:gridCol w:w="109"/>
        <w:gridCol w:w="211"/>
        <w:gridCol w:w="766"/>
        <w:gridCol w:w="157"/>
      </w:tblGrid>
      <w:tr>
        <w:trPr/>
        <w:tc>
          <w:tcPr>
            <w:tcW w:w="122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Contractual Obligations and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One to</w:t>
              <w:br/>
              <w:t>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to</w:t>
              <w:b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More than</w:t>
              <w:br/>
              <w:t>Five Years</w:t>
            </w:r>
          </w:p>
        </w:tc>
      </w:tr>
      <w:tr>
        <w:trPr/>
        <w:tc>
          <w:tcPr>
            <w:tcW w:w="33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6"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Pension funding obligations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 and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240"/>
        <w:ind w:left="0" w:right="0" w:hanging="389"/>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expected fiscal 2026 contributions to fund our defined benefit pension and other postretirement plans. Contributions beyond one year have not been included as amounts are not determinable.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New Accounting Pronouncements and Changes in Accounting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November 2023, the Financial Accounting Standards Board (FASB) amended the guidance of Accounting Standards Codification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requiring public entities to disclose significant segment expenses and other segment items on an interim basis. The new guidance is effective for the Company for its annual financial statements in fiscal year 2025 and for its interim financial statements in fiscal year 2026. The adoption of the new guidance did not significantly impact our financial presentation.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includes amendments that further enhance the income tax information through improvements to income tax disclosures primarily related to the rate reconciliation and income taxes paid. The update also includes certain other amendments to improve the effectiveness of income tax disclosures. The amendments are effective for the Company’s annual periods beginning October 1, 2025, with early adoption permitted. We are currently evaluating the impact that the adoption of this new guidance will have on our financial statement presentation.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requiring public entities to provide disaggregated disclosures in the notes of the financial statements of certain categories of expenses that are included in expense line items on the face of the income statement on an interim basis. The new guidance is effective for the Company for its annual financial statements in fiscal year 2027 and for its interim financial statements in fiscal year 2028, with early adoption permitted. We are currently evaluating the impact that the adoption of this new guidance will have on our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to clarify and modernize the accounting for costs related to internal-use software. The guidance removes references to project stages used in ASC 350-40 and clarifies the threshold entities should apply to begin capitalizing internal-use software costs. The new guidance is effective for us starting October 1, 2028, and we may apply the guidance using a prospective, retrospective, or modified transition approach. We are currently evaluating the impact that the adoption of this new guidance will have on our financial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various joint venture arrangements to provide architectural, engineering, program management, construction management and operations and maintenance services. The ownership percentage of these joint ventures is typically representative of the work to be performed or the amount of risk assumed by each joint venture partner. Some of these joint ventures are considered variable interest entities. We have consolidated all joint ventures for which we have control. For all others, our portion of the earnings are recorded in equity in earnings of joint ventures. See Note 6 in the notes to our consolidated financial statements. We do not believe that we have any off-balance sheet arrangements that have or are reasonably likely to have a current or future effect on our financial condition, changes in financial condition, revenues or expenses, results of operations, liquidity, capital expenditures or capital resources that would be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Financial Market Risks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primarily related to foreign currency exchange rates and interest rate exposure of our debt obligations that bear interest based on floating rates. We actively monitor these exposures. Our objective is to reduce, where we deem appropriate to do so, fluctuations in earnings and cash flows associated with changes in foreign exchange rates and interest rates. In order to accomplish this objective, we sometimes enter into derivative financial instruments, such as forward contracts and interest rate hedge contracts. It is our policy and practice to use derivative financial instruments only to the extent necessary to manage our exposures. We do not use derivative financial instruments for trading purposes.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Foreign Exchange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resulting from our operations outside of the U.S. We use foreign currency forward contracts from time to time to mitigate foreign currency risk.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 The functional currency of our significant foreign operations is the respective local currency.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Credit Agreement and other debt obligations are subject to variable rate interest which could be adversely affected by an increase in interest rates. As of September 30, 2025 and 2024, we had $1,439.9 million and $1,446.6 million, respectively, in outstanding borrowings under our term credit agreements and revolving credit facility. Interest on amounts borrowed under these agreements is subject to adjustment based on specified levels of financial performance. The applicable margin that is added to the borrowing’s base rate can range from 0.125% to 1.00% and the applicable margin that is added to borrowings in the Term SOFR rate can range from 1.125% to 2.00%. For the year ended September 30, 2025, our weighted average floating rate borrowings were $1,603.8 million, or $903.8 million excluding borrowings with effective fixed interest rates due to interest rate swap and interest rate cap agreements. If short-term floating interest rates had increased by 1.00%, our interest expense for the year ended September 30, 2025 would have increased by $9.0 million. We invest our cash in a variety of financial instruments, consisting principally of money market securities or other highly liquid, short-term securities that are subject to minimal credit and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September 30, 2025</w:t>
      </w:r>
    </w:p>
    <w:tbl>
      <w:tblPr>
        <w:tblW w:w="9356" w:type="dxa"/>
        <w:jc w:val="left"/>
        <w:tblInd w:w="0" w:type="dxa"/>
        <w:tblLayout w:type="fixed"/>
        <w:tblCellMar>
          <w:top w:w="28" w:type="dxa"/>
          <w:left w:w="28" w:type="dxa"/>
          <w:bottom w:w="28" w:type="dxa"/>
          <w:right w:w="28" w:type="dxa"/>
        </w:tblCellMar>
      </w:tblPr>
      <w:tblGrid>
        <w:gridCol w:w="3252"/>
        <w:gridCol w:w="2858"/>
        <w:gridCol w:w="2874"/>
        <w:gridCol w:w="109"/>
        <w:gridCol w:w="109"/>
        <w:gridCol w:w="154"/>
      </w:tblGrid>
      <w:tr>
        <w:trPr/>
        <w:tc>
          <w:tcPr>
            <w:tcW w:w="3252"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Audited Annual Consolidated Financial Statements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70">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PCAOB ID: </w:t>
            </w:r>
            <w:r>
              <w:rPr>
                <w:rFonts w:ascii="Times New Roman;serif" w:hAnsi="Times New Roman;serif"/>
                <w:b w:val="false"/>
                <w:color w:val="000000"/>
                <w:sz w:val="20"/>
              </w:rPr>
              <w:t>42</w:t>
            </w:r>
            <w:r>
              <w:rPr>
                <w:rFonts w:ascii="Times New Roman;serif" w:hAnsi="Times New Roman;serif"/>
                <w:b w:val="false"/>
                <w:color w:val="000000"/>
                <w:sz w:val="20"/>
                <w:shd w:fill="FFFFFF" w:val="clear"/>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70">
              <w:r>
                <w:rPr>
                  <w:rStyle w:val="InternetLink"/>
                  <w:rFonts w:ascii="Times New Roman;serif" w:hAnsi="Times New Roman;serif"/>
                  <w:b w:val="false"/>
                  <w:strike w:val="false"/>
                  <w:dstrike w:val="false"/>
                  <w:color w:val="000000"/>
                  <w:sz w:val="20"/>
                  <w:u w:val="none"/>
                  <w:effect w:val="none"/>
                </w:rPr>
                <w:t>53</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73">
              <w:r>
                <w:rPr>
                  <w:rStyle w:val="InternetLink"/>
                  <w:rFonts w:ascii="Times New Roman;serif" w:hAnsi="Times New Roman;serif"/>
                  <w:b w:val="false"/>
                  <w:color w:val="000080"/>
                  <w:sz w:val="20"/>
                  <w:u w:val="single"/>
                </w:rPr>
                <w:t>Consolidated Balance Sheets at September 30, 202</w:t>
              </w:r>
            </w:hyperlink>
            <w:hyperlink w:anchor="iae18c86d2ca441bfa9be40d39ca8c6da_73">
              <w:r>
                <w:rPr>
                  <w:rStyle w:val="InternetLink"/>
                  <w:rFonts w:ascii="Times New Roman;serif" w:hAnsi="Times New Roman;serif"/>
                  <w:b w:val="false"/>
                  <w:color w:val="000080"/>
                  <w:sz w:val="20"/>
                  <w:u w:val="single"/>
                </w:rPr>
                <w:t>5</w:t>
              </w:r>
            </w:hyperlink>
            <w:hyperlink w:anchor="iae18c86d2ca441bfa9be40d39ca8c6da_73">
              <w:r>
                <w:rPr>
                  <w:rStyle w:val="InternetLink"/>
                  <w:rFonts w:ascii="Times New Roman;serif" w:hAnsi="Times New Roman;serif"/>
                  <w:b w:val="false"/>
                  <w:color w:val="000080"/>
                  <w:sz w:val="20"/>
                  <w:u w:val="single"/>
                </w:rPr>
                <w:t xml:space="preserve"> and 202</w:t>
              </w:r>
            </w:hyperlink>
            <w:hyperlink w:anchor="iae18c86d2ca441bfa9be40d39ca8c6da_73">
              <w:r>
                <w:rPr>
                  <w:rStyle w:val="InternetLink"/>
                  <w:rFonts w:ascii="Times New Roman;serif" w:hAnsi="Times New Roman;serif"/>
                  <w:b w:val="false"/>
                  <w:color w:val="00008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73">
              <w:r>
                <w:rPr>
                  <w:rStyle w:val="InternetLink"/>
                  <w:rFonts w:ascii="Times New Roman;serif" w:hAnsi="Times New Roman;serif"/>
                  <w:b w:val="false"/>
                  <w:strike w:val="false"/>
                  <w:dstrike w:val="false"/>
                  <w:color w:val="000000"/>
                  <w:sz w:val="20"/>
                  <w:u w:val="none"/>
                  <w:effect w:val="none"/>
                </w:rPr>
                <w:t>56</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76">
              <w:r>
                <w:rPr>
                  <w:rStyle w:val="InternetLink"/>
                  <w:rFonts w:ascii="Times New Roman;serif" w:hAnsi="Times New Roman;serif"/>
                  <w:b w:val="false"/>
                  <w:color w:val="000080"/>
                  <w:sz w:val="20"/>
                  <w:u w:val="single"/>
                </w:rPr>
                <w:t>Consolidated Statements of Operations for the Years Ended September 30, 202</w:t>
              </w:r>
            </w:hyperlink>
            <w:hyperlink w:anchor="iae18c86d2ca441bfa9be40d39ca8c6da_76">
              <w:r>
                <w:rPr>
                  <w:rStyle w:val="InternetLink"/>
                  <w:rFonts w:ascii="Times New Roman;serif" w:hAnsi="Times New Roman;serif"/>
                  <w:b w:val="false"/>
                  <w:color w:val="000080"/>
                  <w:sz w:val="20"/>
                  <w:u w:val="single"/>
                </w:rPr>
                <w:t>5</w:t>
              </w:r>
            </w:hyperlink>
            <w:hyperlink w:anchor="iae18c86d2ca441bfa9be40d39ca8c6da_76">
              <w:r>
                <w:rPr>
                  <w:rStyle w:val="InternetLink"/>
                  <w:rFonts w:ascii="Times New Roman;serif" w:hAnsi="Times New Roman;serif"/>
                  <w:b w:val="false"/>
                  <w:color w:val="000080"/>
                  <w:sz w:val="20"/>
                  <w:u w:val="single"/>
                </w:rPr>
                <w:t>, 202</w:t>
              </w:r>
            </w:hyperlink>
            <w:hyperlink w:anchor="iae18c86d2ca441bfa9be40d39ca8c6da_76">
              <w:r>
                <w:rPr>
                  <w:rStyle w:val="InternetLink"/>
                  <w:rFonts w:ascii="Times New Roman;serif" w:hAnsi="Times New Roman;serif"/>
                  <w:b w:val="false"/>
                  <w:color w:val="000080"/>
                  <w:sz w:val="20"/>
                  <w:u w:val="single"/>
                </w:rPr>
                <w:t>4</w:t>
              </w:r>
            </w:hyperlink>
            <w:hyperlink w:anchor="iae18c86d2ca441bfa9be40d39ca8c6da_76">
              <w:r>
                <w:rPr>
                  <w:rStyle w:val="InternetLink"/>
                  <w:rFonts w:ascii="Times New Roman;serif" w:hAnsi="Times New Roman;serif"/>
                  <w:b w:val="false"/>
                  <w:color w:val="000080"/>
                  <w:sz w:val="20"/>
                  <w:u w:val="single"/>
                </w:rPr>
                <w:t xml:space="preserve"> and 202</w:t>
              </w:r>
            </w:hyperlink>
            <w:hyperlink w:anchor="iae18c86d2ca441bfa9be40d39ca8c6da_76">
              <w:r>
                <w:rPr>
                  <w:rStyle w:val="InternetLink"/>
                  <w:rFonts w:ascii="Times New Roman;serif" w:hAnsi="Times New Roman;serif"/>
                  <w:b w:val="false"/>
                  <w:color w:val="00008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76">
              <w:r>
                <w:rPr>
                  <w:rStyle w:val="InternetLink"/>
                  <w:rFonts w:ascii="Times New Roman;serif" w:hAnsi="Times New Roman;serif"/>
                  <w:b w:val="false"/>
                  <w:strike w:val="false"/>
                  <w:dstrike w:val="false"/>
                  <w:color w:val="000000"/>
                  <w:sz w:val="20"/>
                  <w:u w:val="none"/>
                  <w:effect w:val="none"/>
                </w:rPr>
                <w:t>57</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79">
              <w:r>
                <w:rPr>
                  <w:rStyle w:val="InternetLink"/>
                  <w:rFonts w:ascii="Times New Roman;serif" w:hAnsi="Times New Roman;serif"/>
                  <w:b w:val="false"/>
                  <w:color w:val="000080"/>
                  <w:sz w:val="20"/>
                  <w:u w:val="single"/>
                </w:rPr>
                <w:t>Consolidated Statements of Comprehensive Income for the Years Ended September 30, 202</w:t>
              </w:r>
            </w:hyperlink>
            <w:hyperlink w:anchor="iae18c86d2ca441bfa9be40d39ca8c6da_79">
              <w:r>
                <w:rPr>
                  <w:rStyle w:val="InternetLink"/>
                  <w:rFonts w:ascii="Times New Roman;serif" w:hAnsi="Times New Roman;serif"/>
                  <w:b w:val="false"/>
                  <w:color w:val="000080"/>
                  <w:sz w:val="20"/>
                  <w:u w:val="single"/>
                </w:rPr>
                <w:t>5</w:t>
              </w:r>
            </w:hyperlink>
            <w:hyperlink w:anchor="iae18c86d2ca441bfa9be40d39ca8c6da_79">
              <w:r>
                <w:rPr>
                  <w:rStyle w:val="InternetLink"/>
                  <w:rFonts w:ascii="Times New Roman;serif" w:hAnsi="Times New Roman;serif"/>
                  <w:b w:val="false"/>
                  <w:color w:val="000080"/>
                  <w:sz w:val="20"/>
                  <w:u w:val="single"/>
                </w:rPr>
                <w:t>, 202</w:t>
              </w:r>
            </w:hyperlink>
            <w:hyperlink w:anchor="iae18c86d2ca441bfa9be40d39ca8c6da_79">
              <w:r>
                <w:rPr>
                  <w:rStyle w:val="InternetLink"/>
                  <w:rFonts w:ascii="Times New Roman;serif" w:hAnsi="Times New Roman;serif"/>
                  <w:b w:val="false"/>
                  <w:color w:val="000080"/>
                  <w:sz w:val="20"/>
                  <w:u w:val="single"/>
                </w:rPr>
                <w:t>4</w:t>
              </w:r>
            </w:hyperlink>
            <w:hyperlink w:anchor="iae18c86d2ca441bfa9be40d39ca8c6da_79">
              <w:r>
                <w:rPr>
                  <w:rStyle w:val="InternetLink"/>
                  <w:rFonts w:ascii="Times New Roman;serif" w:hAnsi="Times New Roman;serif"/>
                  <w:b w:val="false"/>
                  <w:color w:val="000080"/>
                  <w:sz w:val="20"/>
                  <w:u w:val="single"/>
                </w:rPr>
                <w:t>, and 202</w:t>
              </w:r>
            </w:hyperlink>
            <w:hyperlink w:anchor="iae18c86d2ca441bfa9be40d39ca8c6da_79">
              <w:r>
                <w:rPr>
                  <w:rStyle w:val="InternetLink"/>
                  <w:rFonts w:ascii="Times New Roman;serif" w:hAnsi="Times New Roman;serif"/>
                  <w:b w:val="false"/>
                  <w:color w:val="00008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79">
              <w:r>
                <w:rPr>
                  <w:rStyle w:val="InternetLink"/>
                  <w:rFonts w:ascii="Times New Roman;serif" w:hAnsi="Times New Roman;serif"/>
                  <w:b w:val="false"/>
                  <w:strike w:val="false"/>
                  <w:dstrike w:val="false"/>
                  <w:color w:val="000000"/>
                  <w:sz w:val="20"/>
                  <w:u w:val="none"/>
                  <w:effect w:val="none"/>
                </w:rPr>
                <w:t>58</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82">
              <w:r>
                <w:rPr>
                  <w:rStyle w:val="InternetLink"/>
                  <w:rFonts w:ascii="Times New Roman;serif" w:hAnsi="Times New Roman;serif"/>
                  <w:b w:val="false"/>
                  <w:color w:val="000080"/>
                  <w:sz w:val="20"/>
                  <w:u w:val="single"/>
                </w:rPr>
                <w:t>Consolidated Statements of Stockholders’ Equity for the Years Ended September 30, 202</w:t>
              </w:r>
            </w:hyperlink>
            <w:hyperlink w:anchor="iae18c86d2ca441bfa9be40d39ca8c6da_82">
              <w:r>
                <w:rPr>
                  <w:rStyle w:val="InternetLink"/>
                  <w:rFonts w:ascii="Times New Roman;serif" w:hAnsi="Times New Roman;serif"/>
                  <w:b w:val="false"/>
                  <w:color w:val="000080"/>
                  <w:sz w:val="20"/>
                  <w:u w:val="single"/>
                </w:rPr>
                <w:t>5</w:t>
              </w:r>
            </w:hyperlink>
            <w:hyperlink w:anchor="iae18c86d2ca441bfa9be40d39ca8c6da_82">
              <w:r>
                <w:rPr>
                  <w:rStyle w:val="InternetLink"/>
                  <w:rFonts w:ascii="Times New Roman;serif" w:hAnsi="Times New Roman;serif"/>
                  <w:b w:val="false"/>
                  <w:color w:val="000080"/>
                  <w:sz w:val="20"/>
                  <w:u w:val="single"/>
                </w:rPr>
                <w:t>, 202</w:t>
              </w:r>
            </w:hyperlink>
            <w:hyperlink w:anchor="iae18c86d2ca441bfa9be40d39ca8c6da_82">
              <w:r>
                <w:rPr>
                  <w:rStyle w:val="InternetLink"/>
                  <w:rFonts w:ascii="Times New Roman;serif" w:hAnsi="Times New Roman;serif"/>
                  <w:b w:val="false"/>
                  <w:color w:val="000080"/>
                  <w:sz w:val="20"/>
                  <w:u w:val="single"/>
                </w:rPr>
                <w:t>4</w:t>
              </w:r>
            </w:hyperlink>
            <w:hyperlink w:anchor="iae18c86d2ca441bfa9be40d39ca8c6da_82">
              <w:r>
                <w:rPr>
                  <w:rStyle w:val="InternetLink"/>
                  <w:rFonts w:ascii="Times New Roman;serif" w:hAnsi="Times New Roman;serif"/>
                  <w:b w:val="false"/>
                  <w:color w:val="000080"/>
                  <w:sz w:val="20"/>
                  <w:u w:val="single"/>
                </w:rPr>
                <w:t>, and 202</w:t>
              </w:r>
            </w:hyperlink>
            <w:hyperlink w:anchor="iae18c86d2ca441bfa9be40d39ca8c6da_82">
              <w:r>
                <w:rPr>
                  <w:rStyle w:val="InternetLink"/>
                  <w:rFonts w:ascii="Times New Roman;serif" w:hAnsi="Times New Roman;serif"/>
                  <w:b w:val="false"/>
                  <w:color w:val="00008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82">
              <w:r>
                <w:rPr>
                  <w:rStyle w:val="InternetLink"/>
                  <w:rFonts w:ascii="Times New Roman;serif" w:hAnsi="Times New Roman;serif"/>
                  <w:b w:val="false"/>
                  <w:strike w:val="false"/>
                  <w:dstrike w:val="false"/>
                  <w:color w:val="000000"/>
                  <w:sz w:val="20"/>
                  <w:u w:val="none"/>
                  <w:effect w:val="none"/>
                </w:rPr>
                <w:t>59</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85">
              <w:r>
                <w:rPr>
                  <w:rStyle w:val="InternetLink"/>
                  <w:rFonts w:ascii="Times New Roman;serif" w:hAnsi="Times New Roman;serif"/>
                  <w:b w:val="false"/>
                  <w:color w:val="000080"/>
                  <w:sz w:val="20"/>
                  <w:u w:val="single"/>
                </w:rPr>
                <w:t>Consolidated Statements of Cash Flows for the Years Ended September 30, 202</w:t>
              </w:r>
            </w:hyperlink>
            <w:hyperlink w:anchor="iae18c86d2ca441bfa9be40d39ca8c6da_85">
              <w:r>
                <w:rPr>
                  <w:rStyle w:val="InternetLink"/>
                  <w:rFonts w:ascii="Times New Roman;serif" w:hAnsi="Times New Roman;serif"/>
                  <w:b w:val="false"/>
                  <w:color w:val="000080"/>
                  <w:sz w:val="20"/>
                  <w:u w:val="single"/>
                </w:rPr>
                <w:t>5</w:t>
              </w:r>
            </w:hyperlink>
            <w:hyperlink w:anchor="iae18c86d2ca441bfa9be40d39ca8c6da_85">
              <w:r>
                <w:rPr>
                  <w:rStyle w:val="InternetLink"/>
                  <w:rFonts w:ascii="Times New Roman;serif" w:hAnsi="Times New Roman;serif"/>
                  <w:b w:val="false"/>
                  <w:color w:val="000080"/>
                  <w:sz w:val="20"/>
                  <w:u w:val="single"/>
                </w:rPr>
                <w:t>, 202</w:t>
              </w:r>
            </w:hyperlink>
            <w:hyperlink w:anchor="iae18c86d2ca441bfa9be40d39ca8c6da_85">
              <w:r>
                <w:rPr>
                  <w:rStyle w:val="InternetLink"/>
                  <w:rFonts w:ascii="Times New Roman;serif" w:hAnsi="Times New Roman;serif"/>
                  <w:b w:val="false"/>
                  <w:color w:val="000080"/>
                  <w:sz w:val="20"/>
                  <w:u w:val="single"/>
                </w:rPr>
                <w:t>4</w:t>
              </w:r>
            </w:hyperlink>
            <w:hyperlink w:anchor="iae18c86d2ca441bfa9be40d39ca8c6da_85">
              <w:r>
                <w:rPr>
                  <w:rStyle w:val="InternetLink"/>
                  <w:rFonts w:ascii="Times New Roman;serif" w:hAnsi="Times New Roman;serif"/>
                  <w:b w:val="false"/>
                  <w:color w:val="000080"/>
                  <w:sz w:val="20"/>
                  <w:u w:val="single"/>
                </w:rPr>
                <w:t>, and 202</w:t>
              </w:r>
            </w:hyperlink>
            <w:hyperlink w:anchor="iae18c86d2ca441bfa9be40d39ca8c6da_85">
              <w:r>
                <w:rPr>
                  <w:rStyle w:val="InternetLink"/>
                  <w:rFonts w:ascii="Times New Roman;serif" w:hAnsi="Times New Roman;serif"/>
                  <w:b w:val="false"/>
                  <w:color w:val="00008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85">
              <w:r>
                <w:rPr>
                  <w:rStyle w:val="InternetLink"/>
                  <w:rFonts w:ascii="Times New Roman;serif" w:hAnsi="Times New Roman;serif"/>
                  <w:b w:val="false"/>
                  <w:strike w:val="false"/>
                  <w:dstrike w:val="false"/>
                  <w:color w:val="000000"/>
                  <w:sz w:val="20"/>
                  <w:u w:val="none"/>
                  <w:effect w:val="none"/>
                </w:rPr>
                <w:t>60</w:t>
              </w:r>
            </w:hyperlink>
          </w:p>
        </w:tc>
      </w:tr>
      <w:tr>
        <w:trPr/>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18c86d2ca441bfa9be40d39ca8c6da_88">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e18c86d2ca441bfa9be40d39ca8c6da_88">
              <w:r>
                <w:rPr>
                  <w:rStyle w:val="InternetLink"/>
                  <w:rFonts w:ascii="Times New Roman;serif" w:hAnsi="Times New Roman;serif"/>
                  <w:b w:val="false"/>
                  <w:strike w:val="false"/>
                  <w:dstrike w:val="false"/>
                  <w:color w:val="000000"/>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AECOM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AECOM (the Company) as of September 30, 2025 and 2024, the related consolidated statements of operations, comprehensive income, stockholders’ equity and cash flows for each of the three years in the period ended September 30,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18, 2025 expressed an unqualified opinion thereon.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4"/>
        <w:gridCol w:w="444"/>
        <w:gridCol w:w="446"/>
        <w:gridCol w:w="2710"/>
        <w:gridCol w:w="2526"/>
        <w:gridCol w:w="3575"/>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Revenue Recognition - Contract cost and claim recovery estimates</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September 30, 2025, contract revenues recognized by the Company were $16.1 billion. Contract revenues include $4.0 billion which relate to fixed price contracts and $6.0 billion which relate to guaranteed maximum price contracts. As described in Note 4 of the consolidated financial statements, the Company generally recognizes revenues for these contracts over time as performance obligations are satisfied. The Company generally measures its progress to completion using an input measure of total costs incurred divided by total costs expected to be incurred. In addition, the Company’s estimate of transaction price includes variable consideration associated with claims only to the extent that a significant reversal would not be probable.</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Recognition of revenue and profit over time as performance obligations are satisfied for long-term fixed price and guaranteed maximum price contracts is highly judgmental as it requires the Company to prepare estimates of total contract revenue and total contract costs, including costs to complete in-process contracts. These estimates are dependent upon a number of factors, including the accuracy of estimates made at the balance sheet date, such as engineering progress, material quantities, the achievement of milestones, penalty provisions, labor productivity and cost estimates.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has recorded revenue related to claims and reported related contract assets and other non-current assets on the consolidated balance sheet. Revenue recognition relating to claims is highly judgmental as the amount has not been approved by the customer and it requires the Company to prepare estimates of amounts expected to be recovered. Changes in recovery estimates can have a material effect on the amount of revenue recognized.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that address the risk of material misstatement of contract revenue including those associated with cost to complete estimates for long-term fixed price contracts and estimates of amounts expected to be recovered from claims. For example, we tested controls over the Company’s review of estimated direct and indirect costs to be incurred and estimates of claim recovery amounts.</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evaluate the Company’s determination of estimated costs to complete, we selected a sample of contracts and, among other things, inspected the executed contracts including any significant amendments; conducted interviews with and inspected questionnaires prepared by project personnel; tested key components of the cost to complete estimates, including materials, labor, and subcontractors costs; reviewed support for estimates of project contingencies; compared actual project margins to historical and expected results; and recalculated revenues recognized.</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test revenue recognized relating to claims, we selected a sample of projects and evaluated the estimates made by management by reviewing documentation from management’s specialists and legal counsel to support the amount of the claim. We also tested management’s estimation process by performing a lookback analysis to evaluate claims settled in the current year compared to management’s prior year estimates.</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Dallas, Texas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November 18,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AECOM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audited AECOM’s internal control over financial reporting as of September 30, 2025, based on criteria established in Internal Control — Integrated Framework issued by the Committee of Sponsoring Organizations of the Treadway Commission (2013 framework) (the COSO criteria). In our opinion, AECOM (the Company) maintained, in all material respects, effective internal control over financial reporting as of September 30, 2025, based on the COSO criteria.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2025 consolidated financial statements of the Company and our report dated November 18, 2025 expressed an unqualified opinion thereon.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Dallas, Texas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November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6"/>
        <w:gridCol w:w="2181"/>
        <w:gridCol w:w="2203"/>
        <w:gridCol w:w="196"/>
        <w:gridCol w:w="961"/>
        <w:gridCol w:w="109"/>
        <w:gridCol w:w="109"/>
        <w:gridCol w:w="109"/>
        <w:gridCol w:w="109"/>
        <w:gridCol w:w="196"/>
        <w:gridCol w:w="961"/>
        <w:gridCol w:w="155"/>
      </w:tblGrid>
      <w:tr>
        <w:trPr/>
        <w:tc>
          <w:tcPr>
            <w:tcW w:w="291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in consolidated joint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1,580,877 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2,793,307 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1,806,458 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6,730,227 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7,055,759 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JOINT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3,480,155 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12,200,249 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12,061,669 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2,385,731 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5,928,816 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6,374,081 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BENEFIT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9,504,065 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9,691,259 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18)</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AECOM 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59"/>
              <w:jc w:val="left"/>
              <w:rPr>
                <w:rFonts w:ascii="Times New Roman;serif" w:hAnsi="Times New Roman;serif"/>
                <w:b w:val="false"/>
                <w:color w:val="000000"/>
                <w:sz w:val="16"/>
              </w:rPr>
            </w:pPr>
            <w:r>
              <w:rPr>
                <w:rFonts w:ascii="Times New Roman;serif" w:hAnsi="Times New Roman;serif"/>
                <w:b w:val="false"/>
                <w:color w:val="000000"/>
                <w:sz w:val="16"/>
              </w:rPr>
              <w:t>Common stock—authorized, 300,000,000 shares of $0.01 par value as of September 30, 2025 and 2024; issued and outstanding 131,782,371 and 132,552,407 shares as of September 30, 2025 and 2024,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4,347,197 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(882,671)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(1,281,647)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AECOM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2,184,205 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2,696,184 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12,200,249 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12,061,669 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145"/>
        <w:gridCol w:w="1775"/>
        <w:gridCol w:w="1787"/>
        <w:gridCol w:w="196"/>
        <w:gridCol w:w="961"/>
        <w:gridCol w:w="109"/>
        <w:gridCol w:w="109"/>
        <w:gridCol w:w="109"/>
        <w:gridCol w:w="109"/>
        <w:gridCol w:w="196"/>
        <w:gridCol w:w="961"/>
        <w:gridCol w:w="109"/>
        <w:gridCol w:w="109"/>
        <w:gridCol w:w="109"/>
        <w:gridCol w:w="109"/>
        <w:gridCol w:w="196"/>
        <w:gridCol w:w="961"/>
        <w:gridCol w:w="155"/>
      </w:tblGrid>
      <w:tr>
        <w:trPr/>
        <w:tc>
          <w:tcPr>
            <w:tcW w:w="214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16,139,622 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14,378,461 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15,021,157 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13,432,996 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1,216,713 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1,084,341 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945,465 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(279,352)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(188,404)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(159,342)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continuing operations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from discontinued operations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AECOM per share: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continuing operations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discontinued operations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continuing operations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discontinued operations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138,614</w:t>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140,109</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03"/>
        <w:gridCol w:w="1922"/>
        <w:gridCol w:w="1942"/>
        <w:gridCol w:w="211"/>
        <w:gridCol w:w="826"/>
        <w:gridCol w:w="109"/>
        <w:gridCol w:w="109"/>
        <w:gridCol w:w="109"/>
        <w:gridCol w:w="109"/>
        <w:gridCol w:w="211"/>
        <w:gridCol w:w="826"/>
        <w:gridCol w:w="109"/>
        <w:gridCol w:w="109"/>
        <w:gridCol w:w="109"/>
        <w:gridCol w:w="109"/>
        <w:gridCol w:w="211"/>
        <w:gridCol w:w="826"/>
        <w:gridCol w:w="155"/>
      </w:tblGrid>
      <w:tr>
        <w:trPr/>
        <w:tc>
          <w:tcPr>
            <w:tcW w:w="2203"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derivatives,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comprehensive income of consolidated subsidiaries,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AECOM,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1060" w:type="dxa"/>
        <w:jc w:val="left"/>
        <w:tblInd w:w="0" w:type="dxa"/>
        <w:tblLayout w:type="fixed"/>
        <w:tblCellMar>
          <w:top w:w="28" w:type="dxa"/>
          <w:left w:w="28" w:type="dxa"/>
          <w:bottom w:w="28" w:type="dxa"/>
          <w:right w:w="28" w:type="dxa"/>
        </w:tblCellMar>
      </w:tblPr>
      <w:tblGrid>
        <w:gridCol w:w="526"/>
        <w:gridCol w:w="344"/>
        <w:gridCol w:w="346"/>
        <w:gridCol w:w="196"/>
        <w:gridCol w:w="556"/>
        <w:gridCol w:w="109"/>
        <w:gridCol w:w="109"/>
        <w:gridCol w:w="109"/>
        <w:gridCol w:w="109"/>
        <w:gridCol w:w="196"/>
        <w:gridCol w:w="871"/>
        <w:gridCol w:w="109"/>
        <w:gridCol w:w="109"/>
        <w:gridCol w:w="109"/>
        <w:gridCol w:w="109"/>
        <w:gridCol w:w="225"/>
        <w:gridCol w:w="864"/>
        <w:gridCol w:w="127"/>
        <w:gridCol w:w="109"/>
        <w:gridCol w:w="109"/>
        <w:gridCol w:w="109"/>
        <w:gridCol w:w="196"/>
        <w:gridCol w:w="88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AECOM</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30"/>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2022</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4,156,594 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(979,675)</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(701,654)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2,476,654 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128,725 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2,605,379 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(382,745)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(926,577)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2,212,332 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2,383,711 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460,255 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(480,750)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4,347,197 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(882,671)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2,184,205 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636,187 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(384,188)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deconsolidation of a joint venture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4,609,126 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(893,027)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2,696,184 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08"/>
        <w:gridCol w:w="1880"/>
        <w:gridCol w:w="1889"/>
        <w:gridCol w:w="196"/>
        <w:gridCol w:w="871"/>
        <w:gridCol w:w="109"/>
        <w:gridCol w:w="109"/>
        <w:gridCol w:w="109"/>
        <w:gridCol w:w="109"/>
        <w:gridCol w:w="196"/>
        <w:gridCol w:w="871"/>
        <w:gridCol w:w="109"/>
        <w:gridCol w:w="109"/>
        <w:gridCol w:w="109"/>
        <w:gridCol w:w="109"/>
        <w:gridCol w:w="196"/>
        <w:gridCol w:w="871"/>
        <w:gridCol w:w="155"/>
      </w:tblGrid>
      <w:tr>
        <w:trPr/>
        <w:tc>
          <w:tcPr>
            <w:tcW w:w="220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losses of unconsolidated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of earnings from unconsolidated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long-lived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on redemption of unsecured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(135,878)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and 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(402,498)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(83,779)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695,980 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business acquisitions, net of cash acquired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outflow from deconsolidation of a joint venture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Return of investment in unconsolidated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disposal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capital expenditures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by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(138,177)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 under credit agreements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(2,259,380)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(5,878,475)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(3,552,639)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unsecured 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unsecured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on redemption of unsecured 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repurchase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(379,284)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distributions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(472,935)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YEAR</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1,262,152 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 INCLUDED IN CURRENT ASSETS HELD FOR SALE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(1,946)</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OF CONTINUING OPERATIONS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1,580,877 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1,260,206 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(153,975)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taxes paid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(91,968)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(139,972)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(78,448)</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Significant Accounting Policies</w:t>
      </w:r>
    </w:p>
    <w:p>
      <w:pPr>
        <w:pStyle w:val="TextBody"/>
        <w:bidi w:val="0"/>
        <w:spacing w:lineRule="auto" w:line="288" w:before="0" w:after="240"/>
        <w:ind w:left="0" w:right="0" w:firstLine="720"/>
        <w:jc w:val="both"/>
        <w:rPr/>
      </w:pPr>
      <w:r>
        <w:rPr>
          <w:rFonts w:ascii="Times New Roman;serif" w:hAnsi="Times New Roman;serif"/>
          <w:b/>
          <w:i/>
          <w:color w:val="000000"/>
          <w:sz w:val="20"/>
        </w:rPr>
        <w:t>Organization</w:t>
      </w:r>
      <w:r>
        <w:rPr>
          <w:color w:val="000000"/>
        </w:rPr>
        <w:t xml:space="preserve">— </w:t>
      </w:r>
      <w:r>
        <w:rPr>
          <w:rFonts w:ascii="Times New Roman;serif" w:hAnsi="Times New Roman;serif"/>
          <w:b w:val="false"/>
          <w:color w:val="000000"/>
          <w:sz w:val="20"/>
        </w:rPr>
        <w:t xml:space="preserve">AECOM and its consolidated subsidiaries provide planning, consulting, advisory, architectural and engineering design services, construction management and program management to public and private clients worldwide in major end markets such as transportation, facilities, environmental, energy, water and government. </w:t>
      </w:r>
    </w:p>
    <w:p>
      <w:pPr>
        <w:pStyle w:val="TextBody"/>
        <w:bidi w:val="0"/>
        <w:spacing w:lineRule="auto" w:line="288" w:before="0" w:after="240"/>
        <w:ind w:left="0" w:right="0" w:firstLine="720"/>
        <w:jc w:val="both"/>
        <w:rPr/>
      </w:pPr>
      <w:r>
        <w:rPr>
          <w:rFonts w:ascii="Times New Roman;serif" w:hAnsi="Times New Roman;serif"/>
          <w:b/>
          <w:i/>
          <w:color w:val="000000"/>
          <w:sz w:val="20"/>
        </w:rPr>
        <w:t>Fiscal Year</w:t>
      </w:r>
      <w:r>
        <w:rPr>
          <w:color w:val="000000"/>
        </w:rPr>
        <w:t>—</w:t>
      </w:r>
      <w:r>
        <w:rPr>
          <w:rFonts w:ascii="Times New Roman;serif" w:hAnsi="Times New Roman;serif"/>
          <w:b w:val="false"/>
          <w:color w:val="000000"/>
          <w:sz w:val="20"/>
        </w:rPr>
        <w:t>The Company reports its annual results of operations based on 52-or 53- week periods ending on the Friday nearest September 30. Certain prior period amounts in the consolidated financial statements and accompanying notes have been reclassified to conform with the current period’s presentation.</w:t>
      </w:r>
    </w:p>
    <w:p>
      <w:pPr>
        <w:pStyle w:val="TextBody"/>
        <w:bidi w:val="0"/>
        <w:spacing w:lineRule="auto" w:line="288" w:before="0" w:after="240"/>
        <w:ind w:left="0" w:right="0" w:firstLine="720"/>
        <w:jc w:val="both"/>
        <w:rPr/>
      </w:pPr>
      <w:r>
        <w:rPr>
          <w:rFonts w:ascii="Times New Roman;serif" w:hAnsi="Times New Roman;serif"/>
          <w:b/>
          <w:i/>
          <w:color w:val="000000"/>
          <w:sz w:val="20"/>
        </w:rPr>
        <w:t>Use of Estimates</w:t>
      </w:r>
      <w:r>
        <w:rPr>
          <w:color w:val="000000"/>
        </w:rPr>
        <w:t>—</w:t>
      </w:r>
      <w:r>
        <w:rPr>
          <w:rFonts w:ascii="Times New Roman;serif" w:hAnsi="Times New Roman;serif"/>
          <w:b w:val="false"/>
          <w:color w:val="000000"/>
          <w:sz w:val="20"/>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more significant estimates affecting amounts reported in the consolidated financial statements relate to revenues under long-term contracts and self-insurance accruals. Actual results could differ from those estimates.</w:t>
      </w:r>
    </w:p>
    <w:p>
      <w:pPr>
        <w:pStyle w:val="TextBody"/>
        <w:bidi w:val="0"/>
        <w:spacing w:lineRule="auto" w:line="288" w:before="0" w:after="240"/>
        <w:ind w:left="0" w:right="0" w:firstLine="720"/>
        <w:jc w:val="both"/>
        <w:rPr/>
      </w:pPr>
      <w:r>
        <w:rPr>
          <w:rFonts w:ascii="Times New Roman;serif" w:hAnsi="Times New Roman;serif"/>
          <w:b/>
          <w:i/>
          <w:color w:val="000000"/>
          <w:sz w:val="20"/>
        </w:rPr>
        <w:t>Principles of Consolidation and Presentation</w:t>
      </w:r>
      <w:r>
        <w:rPr>
          <w:color w:val="000000"/>
        </w:rPr>
        <w:t>—</w:t>
      </w:r>
      <w:r>
        <w:rPr>
          <w:rFonts w:ascii="Times New Roman;serif" w:hAnsi="Times New Roman;serif"/>
          <w:b w:val="false"/>
          <w:color w:val="000000"/>
          <w:sz w:val="20"/>
        </w:rPr>
        <w:t>The consolidated financial statements include the accounts of all majority-owned subsidiaries and joint ventures in which the Company is the primary beneficiary. All inter-company accounts have been eliminated in consolidation. Also see Note 6 regarding joint ventures and variable interest entities.</w:t>
      </w:r>
    </w:p>
    <w:p>
      <w:pPr>
        <w:pStyle w:val="TextBody"/>
        <w:bidi w:val="0"/>
        <w:spacing w:lineRule="auto" w:line="288" w:before="0" w:after="240"/>
        <w:ind w:left="0" w:right="0" w:firstLine="720"/>
        <w:jc w:val="both"/>
        <w:rPr/>
      </w:pPr>
      <w:r>
        <w:rPr>
          <w:rFonts w:ascii="Times New Roman;serif" w:hAnsi="Times New Roman;serif"/>
          <w:b/>
          <w:i/>
          <w:color w:val="000000"/>
          <w:sz w:val="20"/>
        </w:rPr>
        <w:t>Government Contract Matters</w:t>
      </w:r>
      <w:r>
        <w:rPr>
          <w:color w:val="000000"/>
        </w:rPr>
        <w:t>—</w:t>
      </w:r>
      <w:r>
        <w:rPr>
          <w:rFonts w:ascii="Times New Roman;serif" w:hAnsi="Times New Roman;serif"/>
          <w:b w:val="false"/>
          <w:color w:val="000000"/>
          <w:sz w:val="20"/>
        </w:rPr>
        <w:t>The Company’s federal government and certain state and local agency contracts are subject to, among other regulations, regulations issued under the Federal Acquisition Regulations (FAR). These regulations can limit the recovery of certain specified indirect costs on contracts and subjects the Company to ongoing multiple audits by government agencies such as the Defense Contract Audit Agency (DCAA). In addition, most of the Company’s federal and state and local contracts are subject to termination at the discretion of the client.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Audits by the DCAA and other agencies consist of reviews of the Company’s overhead rates, operating systems and cost proposals to ensure that the Company accounted for such costs in accordance with the Cost Accounting Standards of the FAR (CAS). If the DCAA determines the Company has not accounted for such costs consistent with CAS, the DCAA may disallow these costs. There can be no assurance that audits by the DCAA or other governmental agencies will not result in material cost disallowances in the future. </w:t>
      </w:r>
    </w:p>
    <w:p>
      <w:pPr>
        <w:pStyle w:val="TextBody"/>
        <w:bidi w:val="0"/>
        <w:spacing w:lineRule="auto" w:line="288" w:before="0" w:after="240"/>
        <w:ind w:left="0" w:right="0" w:firstLine="720"/>
        <w:jc w:val="both"/>
        <w:rPr/>
      </w:pPr>
      <w:r>
        <w:rPr>
          <w:rFonts w:ascii="Times New Roman;serif" w:hAnsi="Times New Roman;serif"/>
          <w:b/>
          <w:i/>
          <w:color w:val="000000"/>
          <w:sz w:val="20"/>
        </w:rPr>
        <w:t>Cash and Cash Equivalents</w:t>
      </w:r>
      <w:r>
        <w:rPr>
          <w:color w:val="000000"/>
        </w:rPr>
        <w:t>—</w:t>
      </w:r>
      <w:r>
        <w:rPr>
          <w:rFonts w:ascii="Times New Roman;serif" w:hAnsi="Times New Roman;serif"/>
          <w:b w:val="false"/>
          <w:color w:val="000000"/>
          <w:sz w:val="20"/>
        </w:rPr>
        <w:t>The Company’s cash equivalents include highly liquid investments which have an initial maturity of three months or less.</w:t>
      </w:r>
    </w:p>
    <w:p>
      <w:pPr>
        <w:pStyle w:val="TextBody"/>
        <w:bidi w:val="0"/>
        <w:spacing w:lineRule="auto" w:line="288" w:before="0" w:after="240"/>
        <w:ind w:left="0" w:right="0" w:firstLine="720"/>
        <w:jc w:val="both"/>
        <w:rPr/>
      </w:pPr>
      <w:r>
        <w:rPr>
          <w:rFonts w:ascii="Times New Roman;serif" w:hAnsi="Times New Roman;serif"/>
          <w:b/>
          <w:i/>
          <w:color w:val="000000"/>
          <w:sz w:val="20"/>
        </w:rPr>
        <w:t>Allowance for Doubtful Accounts</w:t>
      </w:r>
      <w:r>
        <w:rPr>
          <w:color w:val="000000"/>
        </w:rPr>
        <w:t>—</w:t>
      </w:r>
      <w:r>
        <w:rPr>
          <w:rFonts w:ascii="Times New Roman;serif" w:hAnsi="Times New Roman;serif"/>
          <w:b w:val="false"/>
          <w:color w:val="000000"/>
          <w:sz w:val="20"/>
        </w:rPr>
        <w:t>The Company records its accounts receivable net of an allowance for doubtful accounts. This allowance for doubtful accounts is estimated based on management’s evaluation of the contracts involved and the financial condition of its clients. The factors the Company considers in its contract evaluations include, but are not limited to:</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Client type—federal or state and local government or commercial client;</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Historical contract performance;</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Historical collection and delinquency trends;</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Client credit worthiness; and</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240"/>
        <w:ind w:left="0" w:right="0" w:firstLine="720"/>
        <w:jc w:val="both"/>
        <w:rPr/>
      </w:pPr>
      <w:r>
        <w:rPr>
          <w:rFonts w:ascii="Times New Roman;serif" w:hAnsi="Times New Roman;serif"/>
          <w:b/>
          <w:i/>
          <w:color w:val="000000"/>
          <w:sz w:val="20"/>
        </w:rPr>
        <w:t>Derivative Financial Instruments</w:t>
      </w:r>
      <w:r>
        <w:rPr>
          <w:color w:val="000000"/>
        </w:rPr>
        <w:t>—</w:t>
      </w:r>
      <w:r>
        <w:rPr>
          <w:rFonts w:ascii="Times New Roman;serif" w:hAnsi="Times New Roman;serif"/>
          <w:b w:val="false"/>
          <w:color w:val="000000"/>
          <w:sz w:val="20"/>
        </w:rPr>
        <w:t>The Company accounts for its derivative instruments as either assets or liabilities and carries them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in stockholders’ equity and reclassified into income in the same period or periods during which the hedged transaction affects earnings. The ineffective portion of the gain or loss on the derivative instrument, if any, is recognized in current income. To receive hedge accounting treatment, cash flow hedges must be highly effective in offsetting changes to expected future cash flows on hedged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gain or loss on the effective portion of a derivative instrument that is designated as an economic hedge of the foreign currency translation exposure generated by the re-measurement of certain assets and liabilities denominated in a non-functional currency in a foreign operation is reported in the same manner as a foreign currency translation adjustment. Accordingly, any gains or losses related to these derivative instruments are recognized in current income.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Derivatives that do not qualify as hedges are adjusted to fair value through current income.</w:t>
      </w:r>
    </w:p>
    <w:p>
      <w:pPr>
        <w:pStyle w:val="TextBody"/>
        <w:bidi w:val="0"/>
        <w:spacing w:lineRule="auto" w:line="288" w:before="0" w:after="240"/>
        <w:ind w:left="0" w:right="0" w:firstLine="720"/>
        <w:jc w:val="both"/>
        <w:rPr/>
      </w:pPr>
      <w:r>
        <w:rPr>
          <w:rFonts w:ascii="Times New Roman;serif" w:hAnsi="Times New Roman;serif"/>
          <w:b/>
          <w:i/>
          <w:color w:val="000000"/>
          <w:sz w:val="20"/>
        </w:rPr>
        <w:t>Fair Value of Financial Instruments</w:t>
      </w:r>
      <w:r>
        <w:rPr>
          <w:color w:val="000000"/>
        </w:rPr>
        <w:t>—</w:t>
      </w:r>
      <w:r>
        <w:rPr>
          <w:rFonts w:ascii="Times New Roman;serif" w:hAnsi="Times New Roman;serif"/>
          <w:b w:val="false"/>
          <w:color w:val="000000"/>
          <w:sz w:val="20"/>
        </w:rPr>
        <w:t>The Company determines the fair values of its financial instruments, including short-term investments, debt instruments and derivative instruments, and pension and post-retirement plan assets based on inputs or assumptions that market participants would use in pricing an asset or a liability. The Company categorizes its instruments using a valuation hierarchy for disclosure of the inputs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The classification of a financial asset or liability within the hierarchy is determined based on the lowest level input that is significant to the fair value measurement.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and accounts payable approximate fair value because of the short maturities of these instruments. The carrying amount of the revolving credit facility approximates fair value because the interest rates are based upon variable reference rates.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 methods may produce a fair value calculation that may not be indicative of net realizable value or reflective of future fair values. Although the Company believes its valuation methods are appropriate and consistent with those used by other market participants, the use of different methodologies or assumptions to determine fair value could result in a different fair value measurement at the reporting date.</w:t>
      </w:r>
    </w:p>
    <w:p>
      <w:pPr>
        <w:pStyle w:val="TextBody"/>
        <w:bidi w:val="0"/>
        <w:spacing w:lineRule="auto" w:line="288" w:before="0" w:after="240"/>
        <w:ind w:left="0" w:right="0" w:firstLine="720"/>
        <w:jc w:val="both"/>
        <w:rPr/>
      </w:pPr>
      <w:r>
        <w:rPr>
          <w:rFonts w:ascii="Times New Roman;serif" w:hAnsi="Times New Roman;serif"/>
          <w:b/>
          <w:i/>
          <w:color w:val="000000"/>
          <w:sz w:val="20"/>
        </w:rPr>
        <w:t>Property and Equipment</w:t>
      </w:r>
      <w:r>
        <w:rPr>
          <w:color w:val="000000"/>
        </w:rPr>
        <w:t>—</w:t>
      </w:r>
      <w:r>
        <w:rPr>
          <w:rFonts w:ascii="Times New Roman;serif" w:hAnsi="Times New Roman;serif"/>
          <w:b w:val="false"/>
          <w:color w:val="000000"/>
          <w:sz w:val="20"/>
        </w:rPr>
        <w:t>Property and equipment are recorded at cost and are depreciated over their estimated useful lives using the straight-line method. Expenditures for maintenance and repairs are expensed as incurred. Typically, estimated useful lives range from ten to forty-five years for buildings, three to ten years for furniture and fixtures and three to twelve years for computer systems and equipment. Leasehold improvements are amortized on a straight-line basis over the shorter of their estimated useful lives or the remaining terms of the underlying lease agreement.</w:t>
      </w:r>
    </w:p>
    <w:p>
      <w:pPr>
        <w:pStyle w:val="TextBody"/>
        <w:bidi w:val="0"/>
        <w:spacing w:lineRule="auto" w:line="288" w:before="0" w:after="240"/>
        <w:ind w:left="0" w:right="0" w:firstLine="720"/>
        <w:jc w:val="both"/>
        <w:rPr/>
      </w:pPr>
      <w:r>
        <w:rPr>
          <w:rFonts w:ascii="Times New Roman;serif" w:hAnsi="Times New Roman;serif"/>
          <w:b/>
          <w:i/>
          <w:color w:val="000000"/>
          <w:sz w:val="20"/>
        </w:rPr>
        <w:t>Long-Lived Assets</w:t>
      </w:r>
      <w:r>
        <w:rPr>
          <w:color w:val="000000"/>
        </w:rPr>
        <w:t>—</w:t>
      </w:r>
      <w:r>
        <w:rPr>
          <w:rFonts w:ascii="Times New Roman;serif" w:hAnsi="Times New Roman;serif"/>
          <w:b w:val="false"/>
          <w:color w:val="000000"/>
          <w:sz w:val="20"/>
        </w:rPr>
        <w:t>Long-lived assets to be held and used are reviewed for impairment whenever events or circumstances indicate that the assets may not be recoverable. The carrying amount of an asset to be held and used is not recoverable if it exceeds the sum of the undiscounted cash flows expected from the use and eventual disposition of the asset. For assets to be held and used, impairment losses are recognized based upon the excess of the asset’s carrying amount over the fair value of the asset. For long-lived assets to be disposed, impairment losses are recognized at the lower of the carrying amount or fair value less cost to sell.</w:t>
      </w:r>
    </w:p>
    <w:p>
      <w:pPr>
        <w:pStyle w:val="TextBody"/>
        <w:bidi w:val="0"/>
        <w:spacing w:lineRule="auto" w:line="288" w:before="0" w:after="240"/>
        <w:ind w:left="0" w:right="0" w:firstLine="720"/>
        <w:jc w:val="both"/>
        <w:rPr/>
      </w:pPr>
      <w:r>
        <w:rPr>
          <w:rFonts w:ascii="Times New Roman;serif" w:hAnsi="Times New Roman;serif"/>
          <w:b/>
          <w:i/>
          <w:color w:val="000000"/>
          <w:sz w:val="20"/>
        </w:rPr>
        <w:t>Goodwill and Acquired Intangible Assets</w:t>
      </w:r>
      <w:r>
        <w:rPr>
          <w:color w:val="000000"/>
        </w:rPr>
        <w:t>—</w:t>
      </w:r>
      <w:r>
        <w:rPr>
          <w:rFonts w:ascii="Times New Roman;serif" w:hAnsi="Times New Roman;serif"/>
          <w:b w:val="false"/>
          <w:color w:val="000000"/>
          <w:sz w:val="20"/>
        </w:rPr>
        <w:t>Goodwill represents the excess of amounts paid over the fair value of net assets acquired from an acquisition. In order to determine the amount of goodwill resulting from an acquisition, the Company performs an assessment to determine the value of the acquired company’s tangible and identifiable intangible assets and liabilities. In its assessment, the Company determines whether identifiable intangible assets exist, which typically include backlog, customer relationships and intellectual property. Intangible assets are amortized over the period in which the contractual or economic benefits of the intangible assets are expected to be realized.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tests goodwill for impairment annually for each reporting unit in the fourth quarter of the fiscal year and between annual tests, if events occur or circumstances change which suggest that goodwill should be evaluated. Such events or circumstances include significant changes in legal factors and business climate, recent losses at a reporting unit, and industry trends, among other factors. A reporting unit is defined as an operating segment or one level below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segment. The Company’s impairment tests are performed at the operating segment level as they represent the Company’s reporting units.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is evaluated for impairment either by assessing qualitative factors or by performing a quantitative assessment. Qualitative factors, such as overall financial performance, industry or market considerations, or other relevant events, are assessed to determine if it is more likely than not that the fair value of the reporting units is less than their carrying amounts. During a quantitative impairment test, the Company estimates the fair value of the reporting unit using income and market approaches, and compares that amount to the carrying value of that reporting unit. In the event the fair value of the reporting unit is determined to be less than the carrying value, goodwill is impaired, and an impairment loss is recognized equal to the excess, limited to the total amount of goodwill allocated to the reporting unit. The impairment evaluation process includes, among other things, making assumptions about variable such as revenue growth rates, profitability, discount rates, and industry market multiples, which are subject to a high degree of judgment. See also Note 3.</w:t>
      </w:r>
    </w:p>
    <w:p>
      <w:pPr>
        <w:pStyle w:val="TextBody"/>
        <w:bidi w:val="0"/>
        <w:spacing w:lineRule="auto" w:line="288" w:before="0" w:after="240"/>
        <w:ind w:left="0" w:right="0" w:firstLine="720"/>
        <w:jc w:val="both"/>
        <w:rPr/>
      </w:pPr>
      <w:r>
        <w:rPr>
          <w:rFonts w:ascii="Times New Roman;serif" w:hAnsi="Times New Roman;serif"/>
          <w:b/>
          <w:i/>
          <w:color w:val="000000"/>
          <w:sz w:val="20"/>
        </w:rPr>
        <w:t>Pension Plans</w:t>
      </w:r>
      <w:r>
        <w:rPr>
          <w:color w:val="000000"/>
        </w:rPr>
        <w:t>—</w:t>
      </w:r>
      <w:r>
        <w:rPr>
          <w:rFonts w:ascii="Times New Roman;serif" w:hAnsi="Times New Roman;serif"/>
          <w:b w:val="false"/>
          <w:color w:val="000000"/>
          <w:sz w:val="20"/>
        </w:rPr>
        <w:t>The Company has certain defined benefit pension plans. The Company calculates the market-related value of assets, which is used to determine the return-on-assets component of annual pension expense and the cumulative net unrecognized gain or loss subject to amortization. This calculation reflects the Company’s anticipated long-term rate of return and amortization of the difference between the actual return (including capital, dividends, and interest) and the expected return over a five-year period. Cumulative net unrecognized gains or losses that exceed 10% of the greater of the projected benefit obligation or the fair market related value of plan assets are subject to amortization.</w:t>
      </w:r>
    </w:p>
    <w:p>
      <w:pPr>
        <w:pStyle w:val="TextBody"/>
        <w:bidi w:val="0"/>
        <w:spacing w:lineRule="auto" w:line="288" w:before="0" w:after="240"/>
        <w:ind w:left="0" w:right="0" w:firstLine="720"/>
        <w:jc w:val="both"/>
        <w:rPr/>
      </w:pPr>
      <w:r>
        <w:rPr>
          <w:rFonts w:ascii="Times New Roman;serif" w:hAnsi="Times New Roman;serif"/>
          <w:b/>
          <w:i/>
          <w:color w:val="000000"/>
          <w:sz w:val="20"/>
        </w:rPr>
        <w:t>Insurance Reserves</w:t>
      </w:r>
      <w:r>
        <w:rPr>
          <w:color w:val="000000"/>
        </w:rPr>
        <w:t>—</w:t>
      </w:r>
      <w:r>
        <w:rPr>
          <w:rFonts w:ascii="Times New Roman;serif" w:hAnsi="Times New Roman;serif"/>
          <w:b w:val="false"/>
          <w:color w:val="000000"/>
          <w:sz w:val="20"/>
        </w:rPr>
        <w:t>The Company maintains insurance for certain insurable business risks. Insurance coverage contains various retention and deductible amounts for which the Company accrues a liability based upon reported claims and an actuarially determined estimated liability for certain claims incurred but not reported. It is generally the Company’s policy not to accrue for any potential legal expense to be incurred in defending the Company’s position. The Company believes that its accruals for estimated liabilities associated with professional and other liabilities are sufficient and any excess liability beyond the accrual is not expected to have a material adverse effect on the Company’s results of operations or financial position.</w:t>
      </w:r>
    </w:p>
    <w:p>
      <w:pPr>
        <w:pStyle w:val="TextBody"/>
        <w:bidi w:val="0"/>
        <w:spacing w:lineRule="auto" w:line="288" w:before="0" w:after="240"/>
        <w:ind w:left="0" w:right="0" w:firstLine="720"/>
        <w:jc w:val="both"/>
        <w:rPr/>
      </w:pPr>
      <w:r>
        <w:rPr>
          <w:rFonts w:ascii="Times New Roman;serif" w:hAnsi="Times New Roman;serif"/>
          <w:b/>
          <w:i/>
          <w:color w:val="000000"/>
          <w:sz w:val="20"/>
        </w:rPr>
        <w:t>Foreign Currency Translation</w:t>
      </w:r>
      <w:r>
        <w:rPr>
          <w:color w:val="000000"/>
        </w:rPr>
        <w:t>—</w:t>
      </w:r>
      <w:r>
        <w:rPr>
          <w:rFonts w:ascii="Times New Roman;serif" w:hAnsi="Times New Roman;serif"/>
          <w:b w:val="false"/>
          <w:color w:val="000000"/>
          <w:sz w:val="20"/>
        </w:rPr>
        <w:t>The Company’s functional currency is generally the U.S. dollar, except for foreign operations where the functional currency is generally the local currency. Results of operations for foreign entities are translated to U.S. dollars using the average exchange rates during the period. Assets and liabilities for foreign entities are translated using the exchange rates in effect as of the date of the balance sheet. Resulting translation adjustments are recorded as a foreign currency translation adjustment into other accumulated comprehensive income/(loss) in stockholders’ equity.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foreign currency forward contracts from time to time to mitigate foreign currency risk. The Company limits exposure to foreign currency fluctuations in most of its contracts through provisions that require client payments in currencies corresponding to the currency in which costs are incurred. As a result of this natural hedge, the Company generally does not need to hedge foreign currency cash flows for contract work performed.</w:t>
      </w:r>
    </w:p>
    <w:p>
      <w:pPr>
        <w:pStyle w:val="TextBody"/>
        <w:bidi w:val="0"/>
        <w:spacing w:lineRule="auto" w:line="288" w:before="0" w:after="240"/>
        <w:ind w:left="0" w:right="0" w:firstLine="720"/>
        <w:jc w:val="both"/>
        <w:rPr/>
      </w:pPr>
      <w:r>
        <w:rPr>
          <w:rFonts w:ascii="Times New Roman;serif" w:hAnsi="Times New Roman;serif"/>
          <w:b/>
          <w:i/>
          <w:color w:val="000000"/>
          <w:sz w:val="20"/>
        </w:rPr>
        <w:t>Noncontrolling Interests</w:t>
      </w:r>
      <w:r>
        <w:rPr>
          <w:color w:val="000000"/>
        </w:rPr>
        <w:t>—</w:t>
      </w:r>
      <w:r>
        <w:rPr>
          <w:rFonts w:ascii="Times New Roman;serif" w:hAnsi="Times New Roman;serif"/>
          <w:b w:val="false"/>
          <w:color w:val="000000"/>
          <w:sz w:val="20"/>
        </w:rPr>
        <w:t>Noncontrolling interests represent the equity investments of the minority owners in the Company’s joint ventures and other subsidiary entities that the Company consolidates in its financial statements.</w:t>
      </w:r>
    </w:p>
    <w:p>
      <w:pPr>
        <w:pStyle w:val="TextBody"/>
        <w:bidi w:val="0"/>
        <w:spacing w:lineRule="auto" w:line="288" w:before="0" w:after="240"/>
        <w:ind w:left="0" w:right="0" w:firstLine="720"/>
        <w:jc w:val="both"/>
        <w:rPr/>
      </w:pPr>
      <w:r>
        <w:rPr>
          <w:rFonts w:ascii="Times New Roman;serif" w:hAnsi="Times New Roman;serif"/>
          <w:b/>
          <w:i/>
          <w:color w:val="000000"/>
          <w:sz w:val="20"/>
        </w:rPr>
        <w:t>Income Taxes</w:t>
      </w:r>
      <w:r>
        <w:rPr>
          <w:color w:val="000000"/>
        </w:rPr>
        <w:t>—</w:t>
      </w:r>
      <w:r>
        <w:rPr>
          <w:rFonts w:ascii="Times New Roman;serif" w:hAnsi="Times New Roman;serif"/>
          <w:b w:val="false"/>
          <w:color w:val="000000"/>
          <w:sz w:val="20"/>
        </w:rPr>
        <w:t>The Company files a consolidated U.S. federal corporate income tax return and combined / consolidated state tax returns and separate company state tax returns. The Company accounts for certain income and expense items differently for financial reporting and income tax purposes. Deferred tax assets and liabilities are determined based on the difference between the financial statement and tax basis of assets and liabilities, applying enacted statutory tax rates in effect for the year in which the differences are expected to reverse. In determining the need for a valuation allowance, management reviews both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carry-back is permitted under tax law, and prudent and feasible tax planning strategies that would be implemented, if necessary, to protect against the loss of the deferred tax asset that would otherwise expire. Based upon management’s assessment of all available evidence, the Company has concluded that it is more likely than not that the deferred tax assets, net of valuation allowance,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22, 2017, the United States enacted the Tax Cuts and Jobs Act, which significantly changed U.S. tax law and included a provision to tax global intangible low-taxed income (GILTI) of foreign subsidiaries. The Company recognizes taxes due under the GILTI provision as a current period expense.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One Big Beautiful Bill Act which permanently extends many provisions of the Tax Cuts and Jobs Act of 2017 and introduces new tax provisions relevant for multinational businesses. Most of the new provisions take effect starting in fiscal 2026. Based on its assessment, the Company does not expect the legislation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New Accounting Pronouncements and Changes in Accounting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November 2023, the Financial Accounting Standards Board (FASB) amended the guidance of Accounting Standards Codification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requiring public entities to disclose significant segment expenses and other segment items on an interim basis. The new guidance is effective for the Company for its annual financial statements in fiscal year 2025 and for its interim financial statements in fiscal year 2026. The adoption of the new guidance did not significantly impact the Company's financial presentation.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includes amendments that further enhance the income tax information through improvements to income tax disclosures primarily related to the rate reconciliation and income taxes paid. The update also includes certain other amendments to improve the effectiveness of income tax disclosures. The amendments are effective for the Company’s annual periods beginning October 1, 2025, with early adoption permitted. The Company is currently evaluating the impact that the adoption of this new guidance will have on its financial statement presentation.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requiring public entities to provide disaggregated disclosures in the notes of the financial statements of certain categories of expenses that are included in expense line items on the face of the income statement on an interim basis. The new guidance is effective for the Company for its annual financial statements in fiscal year 2027 and for its interim financial statements in fiscal year 2028, with early adoption permitted. The Company is currently evaluating the impact that the adoption of this new guidance will have on its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to clarify and modernize the accounting for costs related to internal-use software. The guidance removes references to project stages used in ASC 350-40 and clarifies the threshold entities should apply to begin capitalizing internal-use software costs. The new guidance is effective for the Company starting October 1, 2028, and the Company may apply the guidance using a prospective, retrospective, or modified transition approach. The Company is currently evaluating the impact that the adoption of this new guidance will have on its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Discontinued Operations, Goodwill and Intangible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2020, management approved a plan to dispose of via sale the Company’s self-perform at-risk construction businesses. These businesses include the Company’s civil infrastructure, power, and oil and gas construction businesses that were previously reported in the Company’s Construction Services segment. After consideration of the relevant facts, the Company concluded the assets and liabilities of its self-perform at-risk construction businesses met the criteria for classification as held for sale. The Company concluded the actual and proposed disposal activities represented a strategic shift that would have a major effect on the Company’s operations and financial results and qualified for presentation as discontinued operations in accordance with FASB ASC 205-20. Accordingly, the financial results of the self-perform at-risk construction businesses are presented in the Consolidated Statement of Operations as discontinued operations for all periods presented. Current and non-current assets and liabilities of these businesses not sold as of the balance sheet date are presented in the Consolidated Balance Sheets as assets and liabilities held for sale for both periods presented.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completed the sale of its power and oil and gas construction businesses in fiscal 2021 and fiscal 2022, respectively. The Company completed the sale of its civil infrastructure construction business to affiliates of Oroco Capital in the second quarter of fiscal 2021. In the second quarter of fiscal 2024, the Company recorded a $103.1 million loss related to a revised estimate of its contingent consideration receivable recognized in its civil infrastructure construction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2024, the Company resolved contingencies related to the sale of its civil infrastructure construction business and received equity in the counterparty, and the Company recorded a $12.7 million gain based on the fair value of the equity received. Concurrently, the Company participated as a member of a lending group in a revolving credit facility for the counterparty, committing to fund $30 million that matures in May 2029. At September 30, 2025, the counterparty had $15.4 million outstanding under the credit facility, and all cash flows were classified as other investing activities.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During the second quarter of fiscal 2025, the Company and its joint venture counterparty amended the joint venture agreement for a business classified as held for sale. In connection with the amendment and consistent with ASC 810, </w:t>
      </w:r>
      <w:r>
        <w:rPr>
          <w:rFonts w:ascii="Times New Roman;serif" w:hAnsi="Times New Roman;serif"/>
          <w:b w:val="false"/>
          <w:i/>
          <w:color w:val="000000"/>
          <w:sz w:val="20"/>
        </w:rPr>
        <w:t>Consolidation</w:t>
      </w:r>
      <w:r>
        <w:rPr>
          <w:rFonts w:ascii="Times New Roman;serif" w:hAnsi="Times New Roman;serif"/>
          <w:b w:val="false"/>
          <w:color w:val="000000"/>
          <w:sz w:val="20"/>
        </w:rPr>
        <w:t>, the Company reconsidered whether it remained the primary beneficiary under the variable interest model and concluded it was no longer the primary beneficiary. As such, the Company deconsolidated the joint venture as of the amendment date. The Company continues to present its retained noncontrolling interest as held for sale and equity in earnings from the joint venture are reported in net loss from discontinued operations. No gain or loss was recognized in the deconsolidation of the joint venture during the second quarter of fiscal 2025.</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Department of Energy Deactivation, Demolition, and Removal Project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former affiliate of the Company, Amentum Environment &amp; Energy, Inc., f/k/a AECOM Energy and Construction, Inc. (“Former Affiliate”), executed a cost-reimbursable task order with the Department of Energy (DOE) in 2007 to provide deactivation, demolition and removal services at a New York State project site that, during 2010, experienced contamination and performance issues. In February 2011, the Former Affiliate and the DOE executed a Task Order Modification that changed some cost-reimbursable contract provisions to at-risk. The Task Order Modification, including subsequent amendments, required the DOE to pay all project costs up to $106 million, required the Former Affiliate and the DOE to equally share in all project costs incurred from $106 million to $146 million, and required the Former Affiliate to pay all project costs exceeding $146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unanticipated requirements and permitting delays by federal and state agencies, as well as delays and related ground stabilization activities caused by Hurricane Irene in 2011, the Former Affiliate was required to perform work outside the scope of the Task Order Modification. In December 2014, the Former Affiliate submitted an initial set of claims against the DOE pursuant to the Contracts Disputes Acts seeking recovery of $103 million, including additional fees on changed work scope (the “2014 Claims”). On December 6, 2019, the Former Affiliate submitted a second set of claims against the DOE seeking recovery of an additional $60.4 million, including additional project costs and delays outside the scope of the contract as a result of differing site and ground conditions (the “2019 Claims”). The Former Affiliate also submitted three alternative breach of contract claims to the 2014 Claims and the 2019 Claims that may entitle the Former Affiliate to recovery of $148.5 million to $329.4 million. On December 30, 2019, the DOE denied the Former Affiliate’s 2014 Claims. On September 25, 2020, the DOE denied the Former Affiliate’s 2019 Claims. The Company filed an appeal of these decisions on December 20, 2020 in the Court of Federal Claims. Deconstruction, decommissioning and site restoration activities are complete.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31, 2020, the Company completed the sale of its Management Services business, including the Former Affiliate who worked on the DOE project, to Maverick Purchaser Sub LLC (“MS Purchaser”), an affiliate of American Securities LLC and Lindsay Goldberg LLC. The Company and the MS Purchaser agreed that all future DOE project claim recoveries and costs will be split 10% to the MS Purchaser and 90% to the Company with the Company retaining control of all future strategic legal decisions.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 discovery has concluded and expert discovery will proceed once the stay due to the government shutdown is lifted, expected in fiscal year 2026. The Company intends to vigorously pursue all claimed amounts but can provide no certainty that the Company will recover 2014 Claims and 2019 Claims submitted against the DOE, or any additional incurred claims or costs, which could have a material adverse effect on the Company’s results of operations.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Refinery Turnaround Project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former affiliate of the Company, which was sold in a series of transactions to effectuate the sale of the self</w:t>
        <w:noBreakHyphen/>
        <w:t xml:space="preserve">perform at-risk construction businesses, entered into an agreement to perform turnaround maintenance services in Montana in December 2017. The former affiliate performed additional work outside of the original contract and became entitled to payment from the refinery owner. As part of the sale of the former affiliate, the refinery turnaround project, including related claims, were retained by the Company. The former affiliate's claims against the refinery owner and the refinery owner's crossclaims against the Company's former affiliate moved to federal court. A jury trial was completed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February 1, 2025, resulting in a favorable verdict for the Company. As a result of unfavorable court orders on post-trial motions during the third quarter of fiscal 2025, including pre-judgment interest and prompt payment interest, and issuance of the associated judgment, the Company recorded a $53.0 million loss from the reduction in the expected future net cash proceeds the Company would receive as a result of the trial verdict. The Company has appealed the judgment. The loss is reported in discontinued operations as the project was completed prior to the sale of the former affiliate.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summarized balance sheet information of assets and liabilities held for sale (in millions):</w:t>
      </w:r>
    </w:p>
    <w:tbl>
      <w:tblPr>
        <w:tblW w:w="6730" w:type="dxa"/>
        <w:jc w:val="left"/>
        <w:tblInd w:w="0" w:type="dxa"/>
        <w:tblLayout w:type="fixed"/>
        <w:tblCellMar>
          <w:top w:w="28" w:type="dxa"/>
          <w:left w:w="28" w:type="dxa"/>
          <w:bottom w:w="28" w:type="dxa"/>
          <w:right w:w="28" w:type="dxa"/>
        </w:tblCellMar>
      </w:tblPr>
      <w:tblGrid>
        <w:gridCol w:w="1478"/>
        <w:gridCol w:w="1297"/>
        <w:gridCol w:w="1305"/>
        <w:gridCol w:w="289"/>
        <w:gridCol w:w="700"/>
        <w:gridCol w:w="150"/>
        <w:gridCol w:w="109"/>
        <w:gridCol w:w="109"/>
        <w:gridCol w:w="109"/>
        <w:gridCol w:w="284"/>
        <w:gridCol w:w="691"/>
        <w:gridCol w:w="209"/>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and contract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assets to fair value less cost to sell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 held for sale</w:t>
            </w:r>
          </w:p>
        </w:tc>
        <w:tc>
          <w:tcPr>
            <w:tcW w:w="2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following table represents summarized income statement information of discontinued operations (in millions):</w:t>
      </w:r>
    </w:p>
    <w:tbl>
      <w:tblPr>
        <w:tblW w:w="7313" w:type="dxa"/>
        <w:jc w:val="center"/>
        <w:tblInd w:w="0" w:type="dxa"/>
        <w:tblLayout w:type="fixed"/>
        <w:tblCellMar>
          <w:top w:w="28" w:type="dxa"/>
          <w:left w:w="28" w:type="dxa"/>
          <w:bottom w:w="28" w:type="dxa"/>
          <w:right w:w="28" w:type="dxa"/>
        </w:tblCellMar>
      </w:tblPr>
      <w:tblGrid>
        <w:gridCol w:w="1156"/>
        <w:gridCol w:w="1017"/>
        <w:gridCol w:w="1022"/>
        <w:gridCol w:w="265"/>
        <w:gridCol w:w="737"/>
        <w:gridCol w:w="137"/>
        <w:gridCol w:w="109"/>
        <w:gridCol w:w="109"/>
        <w:gridCol w:w="109"/>
        <w:gridCol w:w="238"/>
        <w:gridCol w:w="779"/>
        <w:gridCol w:w="123"/>
        <w:gridCol w:w="109"/>
        <w:gridCol w:w="109"/>
        <w:gridCol w:w="109"/>
        <w:gridCol w:w="255"/>
        <w:gridCol w:w="744"/>
        <w:gridCol w:w="186"/>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joint ventures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activities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included in the Consolidated Statement of Cash Flows for the discontinued operations are as follows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03"/>
        <w:gridCol w:w="1975"/>
        <w:gridCol w:w="1981"/>
        <w:gridCol w:w="253"/>
        <w:gridCol w:w="697"/>
        <w:gridCol w:w="130"/>
        <w:gridCol w:w="109"/>
        <w:gridCol w:w="109"/>
        <w:gridCol w:w="109"/>
        <w:gridCol w:w="307"/>
        <w:gridCol w:w="614"/>
        <w:gridCol w:w="159"/>
        <w:gridCol w:w="109"/>
        <w:gridCol w:w="109"/>
        <w:gridCol w:w="109"/>
        <w:gridCol w:w="301"/>
        <w:gridCol w:w="603"/>
        <w:gridCol w:w="228"/>
      </w:tblGrid>
      <w:tr>
        <w:trPr/>
        <w:tc>
          <w:tcPr>
            <w:tcW w:w="2303"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capital expenditures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in noncurrent assets held for sale due to deconsolidation of a joint venture</w:t>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in noncontrolling interest due to deconsolidation of a joint venture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recorded a $12.7 million non-cash gain in discontinued operations in fiscal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two business acquisitions during the year ended September 30, 2025 for total consideration of $375.9 million, which included stock consideration of $146.4 million. Neither of these two acquisitions met the quantitative thresholds to require separate disclosure. The Company acquired these businesses to expand its competitive advantage and compound strengths to achieve its long-term profitability targets. The Company preliminarily estimates the amount of identifiable assets acquired based on the facts and circumstances available at the time of acquisition. The Company determines the final value of the identifiable intangible assets as soon as information is available, but not more than 12 months from the date of acquisition. The initial accounting for these acquisitions is not complete as of September 30, 2025 as the Company continues to assess the value of the acquired intellectual property intangible asset.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by reportable segment for the year ended September 30, 2025 were as follows:</w:t>
      </w:r>
    </w:p>
    <w:tbl>
      <w:tblPr>
        <w:tblW w:w="6244" w:type="dxa"/>
        <w:jc w:val="center"/>
        <w:tblInd w:w="0" w:type="dxa"/>
        <w:tblLayout w:type="fixed"/>
        <w:tblCellMar>
          <w:top w:w="28" w:type="dxa"/>
          <w:left w:w="28" w:type="dxa"/>
          <w:bottom w:w="28" w:type="dxa"/>
          <w:right w:w="28" w:type="dxa"/>
        </w:tblCellMar>
      </w:tblPr>
      <w:tblGrid>
        <w:gridCol w:w="423"/>
        <w:gridCol w:w="372"/>
        <w:gridCol w:w="376"/>
        <w:gridCol w:w="221"/>
        <w:gridCol w:w="804"/>
        <w:gridCol w:w="114"/>
        <w:gridCol w:w="109"/>
        <w:gridCol w:w="109"/>
        <w:gridCol w:w="109"/>
        <w:gridCol w:w="230"/>
        <w:gridCol w:w="481"/>
        <w:gridCol w:w="121"/>
        <w:gridCol w:w="109"/>
        <w:gridCol w:w="109"/>
        <w:gridCol w:w="109"/>
        <w:gridCol w:w="211"/>
        <w:gridCol w:w="616"/>
        <w:gridCol w:w="109"/>
        <w:gridCol w:w="109"/>
        <w:gridCol w:w="109"/>
        <w:gridCol w:w="109"/>
        <w:gridCol w:w="221"/>
        <w:gridCol w:w="803"/>
        <w:gridCol w:w="161"/>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gross amounts and accumulated amortization of the Company’s acquired identifiable intangible assets with finite useful lives as of September 30, 2025 and 2024, included in intangible assets—net, in the accompanying consolidated balance sheets, were as follows:</w:t>
      </w:r>
    </w:p>
    <w:tbl>
      <w:tblPr>
        <w:tblW w:w="10205" w:type="dxa"/>
        <w:jc w:val="left"/>
        <w:tblInd w:w="0" w:type="dxa"/>
        <w:tblLayout w:type="fixed"/>
        <w:tblCellMar>
          <w:top w:w="28" w:type="dxa"/>
          <w:left w:w="28" w:type="dxa"/>
          <w:bottom w:w="28" w:type="dxa"/>
          <w:right w:w="28" w:type="dxa"/>
        </w:tblCellMar>
      </w:tblPr>
      <w:tblGrid>
        <w:gridCol w:w="471"/>
        <w:gridCol w:w="415"/>
        <w:gridCol w:w="416"/>
        <w:gridCol w:w="211"/>
        <w:gridCol w:w="616"/>
        <w:gridCol w:w="109"/>
        <w:gridCol w:w="109"/>
        <w:gridCol w:w="109"/>
        <w:gridCol w:w="109"/>
        <w:gridCol w:w="307"/>
        <w:gridCol w:w="614"/>
        <w:gridCol w:w="160"/>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44"/>
        <w:gridCol w:w="471"/>
        <w:gridCol w:w="127"/>
        <w:gridCol w:w="109"/>
        <w:gridCol w:w="109"/>
        <w:gridCol w:w="109"/>
        <w:gridCol w:w="329"/>
        <w:gridCol w:w="329"/>
        <w:gridCol w:w="471"/>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1 - 11</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 included within cost of revenue was $1.5 million and $18.8 million for the years ended September 30, 2025 and 2024, respectively. The following table presents estimated amortization expense of existing intangible assets for the succeeding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2275" w:type="dxa"/>
        <w:jc w:val="center"/>
        <w:tblInd w:w="0" w:type="dxa"/>
        <w:tblLayout w:type="fixed"/>
        <w:tblCellMar>
          <w:top w:w="28" w:type="dxa"/>
          <w:left w:w="28" w:type="dxa"/>
          <w:bottom w:w="28" w:type="dxa"/>
          <w:right w:w="28" w:type="dxa"/>
        </w:tblCellMar>
      </w:tblPr>
      <w:tblGrid>
        <w:gridCol w:w="342"/>
        <w:gridCol w:w="300"/>
        <w:gridCol w:w="302"/>
        <w:gridCol w:w="109"/>
        <w:gridCol w:w="109"/>
        <w:gridCol w:w="109"/>
        <w:gridCol w:w="216"/>
        <w:gridCol w:w="631"/>
        <w:gridCol w:w="15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accounting principles for recognizing revenue upon the transfer of control of promised goods or services to customers, in an amount that reflects the expected consideration received in exchange for those goods or services. The Company generally recognizes revenues over time as performance obligations are satisfied. The Company generally measures its progress to completion using an input measure of total costs incurred divided by total costs expected to be incurred, which it believes to be the best measure of progress towards completion of the performance obligation. In the course of providing its services, the Company routinely subcontracts for services and incurs other direct costs on behalf of its clients. These costs are passed through to clients and, in accordance with GAAP, are included in the Company’s revenue and cost of revenue. These pass-through revenues for the years ended September 30, 2025, 2024 and 2023 were $8.6 billion, $8.9 billion and $7.7 billion, respectively.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Recognition of revenue and profit is dependent upon a number of factors, including the accuracy of a variety of estimates made at the balance sheet date, such as engineering progress, material quantities, the achievement of milestones, penalty provisions, labor productivity and cost estimates. Additionally, the Company is required to make estimates for the amount of consideration to be received, including bonuses, awards, incentive fees, claims, unpriced change orders, penalties, and liquidated damages. Variable consideration is included in the estimate of the transaction price only to the extent that a significant reversal would not be probable. Management continuously monitors factors that may affect the quality of its estimates, and material changes in estimates are disclosed accordingly. Costs attributable to claims are treated as costs of contract performance as incurred.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Company’s major contract types: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Cost Reimbursable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reimbursable contracts include cost-plus fixed fee, cost-plus fixed rate, and time-and-materials price contracts. Under cost-plus contracts, the Company charges clients for its costs, including both direct and indirect costs, plus a negotiated fee or rate. The Company recognizes revenue based on actual direct costs incurred and the applicable fixed rate or portion of the fixed fee earned as of the balance sheet date. Under time-and-materials price contracts, the Company negotiates hourly billing rates and charges its clients based on the actual time that it expends on a project. In addition, clients reimburse the Company for materials and other direct incidental expenditures incurred in connection with its performance under the contract. The Company may apply a practical expedient to recognize revenue in the amount in which it has the right to invoice if its right to consideration is equal to the value of performance completed to date.</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Guaranteed Maximum Price Contracts (GMP)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GMP contracts share many of the same contract provisions as cost-plus and fixed-price contracts. As with cost-plus contracts, clients are provided a disclosure of all the project costs, and a lump sum or percentage fee is separately identified. The Company provides clients with a guaranteed price for the overall project (adjusted for change orders issued by clients) and a schedule including the expected completion date. Cost overruns or costs associated with project delays in completion could be the Company’s responsibility. For many of the Company’s GMP contracts, the final price is generally not established until the Company has subcontracted a substantial percentage of the trade contracts with terms consistent with the master contract, and it has negotiated additional contractual limitations, such as waivers of consequential damages as well as aggregate caps on liabilities and liquidated damages. Revenue is recognized for GMP contracts as project costs are incurred relative to total estimated project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Fixed-Price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Fixed-price contracts include both lump-sum and fixed-unit price contracts. Under lump-sum contracts, the Company performs all the work under the contract for a specified fee. Lump-sum contracts are typically subject to price adjustments if the scope of the project changes or unforeseen conditions arise.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as the Company believes this is the best measure of progress towards completion.</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revenues disaggregated by revenue sources:</w:t>
      </w:r>
    </w:p>
    <w:tbl>
      <w:tblPr>
        <w:tblW w:w="6626" w:type="dxa"/>
        <w:jc w:val="center"/>
        <w:tblInd w:w="0" w:type="dxa"/>
        <w:tblLayout w:type="fixed"/>
        <w:tblCellMar>
          <w:top w:w="28" w:type="dxa"/>
          <w:left w:w="28" w:type="dxa"/>
          <w:bottom w:w="28" w:type="dxa"/>
          <w:right w:w="28" w:type="dxa"/>
        </w:tblCellMar>
      </w:tblPr>
      <w:tblGrid>
        <w:gridCol w:w="853"/>
        <w:gridCol w:w="749"/>
        <w:gridCol w:w="752"/>
        <w:gridCol w:w="211"/>
        <w:gridCol w:w="871"/>
        <w:gridCol w:w="109"/>
        <w:gridCol w:w="109"/>
        <w:gridCol w:w="109"/>
        <w:gridCol w:w="109"/>
        <w:gridCol w:w="211"/>
        <w:gridCol w:w="871"/>
        <w:gridCol w:w="109"/>
        <w:gridCol w:w="109"/>
        <w:gridCol w:w="109"/>
        <w:gridCol w:w="109"/>
        <w:gridCol w:w="211"/>
        <w:gridCol w:w="87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maximum price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51" w:type="dxa"/>
        <w:jc w:val="center"/>
        <w:tblInd w:w="0" w:type="dxa"/>
        <w:tblLayout w:type="fixed"/>
        <w:tblCellMar>
          <w:top w:w="28" w:type="dxa"/>
          <w:left w:w="28" w:type="dxa"/>
          <w:bottom w:w="28" w:type="dxa"/>
          <w:right w:w="28" w:type="dxa"/>
        </w:tblCellMar>
      </w:tblPr>
      <w:tblGrid>
        <w:gridCol w:w="1041"/>
        <w:gridCol w:w="916"/>
        <w:gridCol w:w="922"/>
        <w:gridCol w:w="211"/>
        <w:gridCol w:w="871"/>
        <w:gridCol w:w="109"/>
        <w:gridCol w:w="109"/>
        <w:gridCol w:w="109"/>
        <w:gridCol w:w="109"/>
        <w:gridCol w:w="211"/>
        <w:gridCol w:w="871"/>
        <w:gridCol w:w="109"/>
        <w:gridCol w:w="109"/>
        <w:gridCol w:w="109"/>
        <w:gridCol w:w="109"/>
        <w:gridCol w:w="211"/>
        <w:gridCol w:w="871"/>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India, Africa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Asia-Australia-Pacific</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Remaining Unsatisfied Performance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allocated $19.7 billion of transaction price to unsatisfied or partially satisfied performance obligations, of which approximately 57% is expected to be satisfied within the next twelve months. The majority of remaining performance obligation after the first 12 months are expected to be recognized over a two-year period.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liabilities represent billings as of the balance sheet date, as allowed under the terms of a contract, but not yet recognized as contract revenue pursuant to the Company’s revenue recognition policy. The Company recognized revenue of $918.9 million and $801.0 million during the years ended September 30, 2025 and 2024, respectively, that was included in contract liabilities as of September 30, 2024 and 2023,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receivables represent amounts billed to clients that have yet to be collected and represent an unconditional right to cash from its clients. Contract assets represent the amount of contract revenue recognized but not yet billed pursuant to contract terms or accounts billed after the balance sheet date.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accounts receivable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6805" w:type="dxa"/>
        <w:jc w:val="center"/>
        <w:tblInd w:w="0" w:type="dxa"/>
        <w:tblLayout w:type="fixed"/>
        <w:tblCellMar>
          <w:top w:w="28" w:type="dxa"/>
          <w:left w:w="28" w:type="dxa"/>
          <w:bottom w:w="28" w:type="dxa"/>
          <w:right w:w="28" w:type="dxa"/>
        </w:tblCellMar>
      </w:tblPr>
      <w:tblGrid>
        <w:gridCol w:w="1500"/>
        <w:gridCol w:w="1321"/>
        <w:gridCol w:w="1333"/>
        <w:gridCol w:w="221"/>
        <w:gridCol w:w="804"/>
        <w:gridCol w:w="114"/>
        <w:gridCol w:w="109"/>
        <w:gridCol w:w="109"/>
        <w:gridCol w:w="109"/>
        <w:gridCol w:w="221"/>
        <w:gridCol w:w="803"/>
        <w:gridCol w:w="161"/>
      </w:tblGrid>
      <w:tr>
        <w:trPr/>
        <w:tc>
          <w:tcPr>
            <w:tcW w:w="150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retentions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receivable—gross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and credit losses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Substantially all contract assets as of September 30, 2025 and September 30, 2024 are expected to be billed and collected within twelve months, except for claims. Significant claims recorded in contract assets and other non-current assets were approximately $400 million and $180 million as of September 30, 2025 and 2024, respectively. The asset related to the Deactivation, Demolition, and Removal Project retained from the MS Purchaser as defined and and discussed in Note 3 is presented in other non-current assets from continuing operations in the Consolidated Balance Sheet. Contract retentions represent amounts invoiced to clients where payments have been withheld from progress payments until the contracted work has been completed and approved by the client but nonetheless represent an unconditional right to cash.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a broad range of information to estimate expected credit losses including the related ages of past due balances, projections of credit losses based on historical trends, and collection history and credit quality of its clients. Negative macroeconomic trends or delays in payment of outstanding receivables could result in an increase in the estimated credit losses.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single client accounted for more than 10% of the Company’s outstanding receivables at September 30, 2025 and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sold trade receivables to financial institutions, of which $268.2 million and $319.5 million were outstanding as of September 30, 2025 and 2024, respectively. The Company does not retain financial or legal obligations for these receivables that would result in material losses. The Company’s ongoing involvement is limited to the remittance of customer payments to the financial institutions with respect to the sold trade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at cost, consists of the following:</w:t>
      </w:r>
    </w:p>
    <w:tbl>
      <w:tblPr>
        <w:tblW w:w="7647" w:type="dxa"/>
        <w:jc w:val="center"/>
        <w:tblInd w:w="0" w:type="dxa"/>
        <w:tblLayout w:type="fixed"/>
        <w:tblCellMar>
          <w:top w:w="28" w:type="dxa"/>
          <w:left w:w="28" w:type="dxa"/>
          <w:bottom w:w="28" w:type="dxa"/>
          <w:right w:w="28" w:type="dxa"/>
        </w:tblCellMar>
      </w:tblPr>
      <w:tblGrid>
        <w:gridCol w:w="1335"/>
        <w:gridCol w:w="1172"/>
        <w:gridCol w:w="1182"/>
        <w:gridCol w:w="257"/>
        <w:gridCol w:w="750"/>
        <w:gridCol w:w="132"/>
        <w:gridCol w:w="109"/>
        <w:gridCol w:w="109"/>
        <w:gridCol w:w="109"/>
        <w:gridCol w:w="257"/>
        <w:gridCol w:w="750"/>
        <w:gridCol w:w="132"/>
        <w:gridCol w:w="109"/>
        <w:gridCol w:w="109"/>
        <w:gridCol w:w="109"/>
        <w:gridCol w:w="109"/>
        <w:gridCol w:w="109"/>
        <w:gridCol w:w="109"/>
        <w:gridCol w:w="109"/>
        <w:gridCol w:w="109"/>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Lives</w:t>
              <w:br/>
              <w:t>(years)</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land</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systems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fiscal years ended September 30, 2025, 2024 and 2023 was $166.3 million, $152.3 million, and $152.3 million, respectively. Depreciation is calculated using primarily the straight-line method over the estimated useful lives of the assets, or in the case of leasehold improvements and capitalized leases, the lesser of the remaining term of the lease or its estimated useful life.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Joint Ventures and Variable Interest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joint ventures provide architecture, engineering, program management, construction management, operations and maintenance services, and invest in real estate projects. Joint ventures, the combination of two or more partners, are generally formed for a specific project. Management of the joint venture is typically controlled by a joint venture executive committee, comprised of representatives from the joint venture partners. The joint venture executive committee normally provides management oversight and controls decisions which could have a significant impact on the joint venture.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the Company’s joint ventures have no employees and minimal operating expenses. For these joint ventures, the Company’s employees perform work for the joint venture, which is then billed to a third-party customer by the joint venture. These joint ventures function as pass-through entities to bill the third-party customer. For consolidated joint ventures of this type, the Company records the entire amount of the services performed and the costs associated with these services, including the services provided by the other joint venture partners, in the Company’s result of operations. For certain of these joint ventures where a fee is added by an unconsolidated joint venture to client billings, the Company’s portion of that fee is recorded in equity in earnings of joint ventures.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has joint ventures that have their own employees and operating expenses, and to which the Company generally makes a capital contribution. The Company accounts for these joint ventures either as consolidated entities or equity method investments based on the criteria further discussed below.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joint venture’s economic performance, including powers granted to the joint venture’s program manager, powers contained in the joint venture governing board and, to a certain extent, a company’s economic interest in the joint venture. The Company analyzes its joint ventures and classifies them as either:</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a VIE that must be consolidated because the Company is the primary beneficiary or the joint venture is not a VIE and the Company holds the majority voting interest with no significant participative rights available to the other partners; or</w:t>
      </w:r>
    </w:p>
    <w:p>
      <w:pPr>
        <w:pStyle w:val="TextBody"/>
        <w:bidi w:val="0"/>
        <w:spacing w:lineRule="auto" w:line="288" w:before="0" w:after="240"/>
        <w:ind w:left="0" w:right="0" w:hanging="346"/>
        <w:jc w:val="both"/>
        <w:rPr/>
      </w:pPr>
      <w:r>
        <w:rPr>
          <w:color w:val="000000"/>
        </w:rPr>
        <w:t>•</w:t>
      </w:r>
      <w:r>
        <w:rPr>
          <w:rFonts w:ascii="Times New Roman;serif" w:hAnsi="Times New Roman;serif"/>
          <w:b w:val="false"/>
          <w:color w:val="000000"/>
          <w:sz w:val="20"/>
        </w:rPr>
        <w:t>a VIE that does not require consolidation and is treated as an equity method investment because the Company is not the primary beneficiary or the joint venture is not a VIE and the Company does not hold the majority voting interest.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Contractually required support provided to the Company’s joint ventures is further discussed in Note 18.</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Summary of financial information of the consolidated joint ventures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5621" w:type="dxa"/>
        <w:jc w:val="center"/>
        <w:tblInd w:w="0" w:type="dxa"/>
        <w:tblLayout w:type="fixed"/>
        <w:tblCellMar>
          <w:top w:w="28" w:type="dxa"/>
          <w:left w:w="28" w:type="dxa"/>
          <w:bottom w:w="28" w:type="dxa"/>
          <w:right w:w="28" w:type="dxa"/>
        </w:tblCellMar>
      </w:tblPr>
      <w:tblGrid>
        <w:gridCol w:w="1074"/>
        <w:gridCol w:w="944"/>
        <w:gridCol w:w="952"/>
        <w:gridCol w:w="257"/>
        <w:gridCol w:w="750"/>
        <w:gridCol w:w="132"/>
        <w:gridCol w:w="109"/>
        <w:gridCol w:w="109"/>
        <w:gridCol w:w="109"/>
        <w:gridCol w:w="255"/>
        <w:gridCol w:w="744"/>
        <w:gridCol w:w="186"/>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AECOM deficit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owners’ equity</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owners’ equity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 of the consolidated joint ventures was $1,698.4 million, $2,242.8 million, and $1,984.3 million for the years ended September 30, 2025, 2024 and 2023, respectively. The assets of the Company’s consolidated joint ventures are restricted for use only by the particular joint venture and are not available for the general operations of the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Summary of unaudited financial information of the unconsolidated joint ventures, as derived from their unaudited financial statements, was as follows:</w:t>
      </w:r>
    </w:p>
    <w:tbl>
      <w:tblPr>
        <w:tblW w:w="6176" w:type="dxa"/>
        <w:jc w:val="center"/>
        <w:tblInd w:w="0" w:type="dxa"/>
        <w:tblLayout w:type="fixed"/>
        <w:tblCellMar>
          <w:top w:w="28" w:type="dxa"/>
          <w:left w:w="28" w:type="dxa"/>
          <w:bottom w:w="28" w:type="dxa"/>
          <w:right w:w="28" w:type="dxa"/>
        </w:tblCellMar>
      </w:tblPr>
      <w:tblGrid>
        <w:gridCol w:w="1275"/>
        <w:gridCol w:w="1120"/>
        <w:gridCol w:w="1130"/>
        <w:gridCol w:w="221"/>
        <w:gridCol w:w="804"/>
        <w:gridCol w:w="114"/>
        <w:gridCol w:w="109"/>
        <w:gridCol w:w="109"/>
        <w:gridCol w:w="109"/>
        <w:gridCol w:w="221"/>
        <w:gridCol w:w="803"/>
        <w:gridCol w:w="161"/>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equity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joint ventures’ equity</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AECOM’s investment in joint ventures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45" w:type="dxa"/>
        <w:jc w:val="center"/>
        <w:tblInd w:w="0" w:type="dxa"/>
        <w:tblLayout w:type="fixed"/>
        <w:tblCellMar>
          <w:top w:w="28" w:type="dxa"/>
          <w:left w:w="28" w:type="dxa"/>
          <w:bottom w:w="28" w:type="dxa"/>
          <w:right w:w="28" w:type="dxa"/>
        </w:tblCellMar>
      </w:tblPr>
      <w:tblGrid>
        <w:gridCol w:w="504"/>
        <w:gridCol w:w="444"/>
        <w:gridCol w:w="446"/>
        <w:gridCol w:w="221"/>
        <w:gridCol w:w="804"/>
        <w:gridCol w:w="114"/>
        <w:gridCol w:w="109"/>
        <w:gridCol w:w="109"/>
        <w:gridCol w:w="109"/>
        <w:gridCol w:w="221"/>
        <w:gridCol w:w="803"/>
        <w:gridCol w:w="161"/>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Summary of AECOM’s equity in earnings of unconsolidated joint ventures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6455" w:type="dxa"/>
        <w:jc w:val="center"/>
        <w:tblInd w:w="0" w:type="dxa"/>
        <w:tblLayout w:type="fixed"/>
        <w:tblCellMar>
          <w:top w:w="28" w:type="dxa"/>
          <w:left w:w="28" w:type="dxa"/>
          <w:bottom w:w="28" w:type="dxa"/>
          <w:right w:w="28" w:type="dxa"/>
        </w:tblCellMar>
      </w:tblPr>
      <w:tblGrid>
        <w:gridCol w:w="847"/>
        <w:gridCol w:w="745"/>
        <w:gridCol w:w="747"/>
        <w:gridCol w:w="289"/>
        <w:gridCol w:w="700"/>
        <w:gridCol w:w="150"/>
        <w:gridCol w:w="109"/>
        <w:gridCol w:w="109"/>
        <w:gridCol w:w="109"/>
        <w:gridCol w:w="289"/>
        <w:gridCol w:w="700"/>
        <w:gridCol w:w="150"/>
        <w:gridCol w:w="109"/>
        <w:gridCol w:w="109"/>
        <w:gridCol w:w="109"/>
        <w:gridCol w:w="236"/>
        <w:gridCol w:w="776"/>
        <w:gridCol w:w="17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joint ventures</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joint ventures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completed a transaction that transitioned the AECOM Capital team to a new third-party platform in the third quarter of fiscal 2024. The team will continue to support AECOM Capital’s investment vehicles pursuant to certain advisory agreements in a manner consistent with their current obligations. During the third quarter of fiscal 2023, the Company identified indicators of impairment in the equity method investments held in its AECOM Capital segment. Specifically, the Company identified evidence that the carrying value of certain of the investments in its real estate portfolio were in excess of their fair values. The Company concluded it no longer had the intent to retain certain of these investments for a period of time sufficient to allow for an anticipated recovery in market value. In the third quarter of fiscal 2023, the Company recorded an impairment loss of $307.0 million to reduce the carrying value of these investments to their estimated fair values. During the first quarter of fiscal 2024, the Company recorded an additional impairment loss of $35.9 million. These impairments do not relate to investments in respect of which affiliates of AECOM Capital provide advisory services or manage third party capital. AECOM Capital will continue to manage existing investment vehicles and investments in a manner consistent with their current obligations. Fair value was determined using Level 3 inputs such as forecasted cash flows and comparable sales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Pension Benefit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the Company sponsors various qualified defined benefit pension plans. Benefits under these plans generally are based on the employee’s years of creditable service and compensation; however, all U.S. defined benefit plans are closed to new participants and have frozen accruals.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sponsors various non-qualified plans in the U.S.; all of these plans are frozen. Outside the U.S., the Company sponsors various pension plans, which are appropriate to the country in which the Company operates, some of which are government mandated.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reconciliations of the changes in the U.S. and international plans’ benefit obligations, reconciliations of the changes in the fair value of assets for the last three years ended September 30, and reconciliations of the funded status as of September 30 of each year.</w:t>
      </w:r>
    </w:p>
    <w:tbl>
      <w:tblPr>
        <w:tblW w:w="10205" w:type="dxa"/>
        <w:jc w:val="left"/>
        <w:tblInd w:w="0" w:type="dxa"/>
        <w:tblLayout w:type="fixed"/>
        <w:tblCellMar>
          <w:top w:w="28" w:type="dxa"/>
          <w:left w:w="28" w:type="dxa"/>
          <w:bottom w:w="28" w:type="dxa"/>
          <w:right w:w="28" w:type="dxa"/>
        </w:tblCellMar>
      </w:tblPr>
      <w:tblGrid>
        <w:gridCol w:w="1081"/>
        <w:gridCol w:w="912"/>
        <w:gridCol w:w="91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8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benefit obligation: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expenses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Actuarial loss (gain)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50"/>
        <w:gridCol w:w="877"/>
        <w:gridCol w:w="88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15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plan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expenses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3"/>
        <w:gridCol w:w="1003"/>
        <w:gridCol w:w="1008"/>
        <w:gridCol w:w="211"/>
        <w:gridCol w:w="574"/>
        <w:gridCol w:w="109"/>
        <w:gridCol w:w="109"/>
        <w:gridCol w:w="109"/>
        <w:gridCol w:w="109"/>
        <w:gridCol w:w="211"/>
        <w:gridCol w:w="574"/>
        <w:gridCol w:w="109"/>
        <w:gridCol w:w="109"/>
        <w:gridCol w:w="109"/>
        <w:gridCol w:w="109"/>
        <w:gridCol w:w="211"/>
        <w:gridCol w:w="574"/>
        <w:gridCol w:w="109"/>
        <w:gridCol w:w="109"/>
        <w:gridCol w:w="109"/>
        <w:gridCol w:w="109"/>
        <w:gridCol w:w="211"/>
        <w:gridCol w:w="574"/>
        <w:gridCol w:w="109"/>
        <w:gridCol w:w="109"/>
        <w:gridCol w:w="109"/>
        <w:gridCol w:w="109"/>
        <w:gridCol w:w="211"/>
        <w:gridCol w:w="574"/>
        <w:gridCol w:w="109"/>
        <w:gridCol w:w="109"/>
        <w:gridCol w:w="109"/>
        <w:gridCol w:w="109"/>
        <w:gridCol w:w="211"/>
        <w:gridCol w:w="574"/>
        <w:gridCol w:w="161"/>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funded status:</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at end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made after measurement date</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 at end of year</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amounts recognized in the consolidated balance sheets as of September 30, 2025, 2024 and 2023:</w:t>
      </w:r>
    </w:p>
    <w:tbl>
      <w:tblPr>
        <w:tblW w:w="10205" w:type="dxa"/>
        <w:jc w:val="left"/>
        <w:tblInd w:w="0" w:type="dxa"/>
        <w:tblLayout w:type="fixed"/>
        <w:tblCellMar>
          <w:top w:w="28" w:type="dxa"/>
          <w:left w:w="28" w:type="dxa"/>
          <w:bottom w:w="28" w:type="dxa"/>
          <w:right w:w="28" w:type="dxa"/>
        </w:tblCellMar>
      </w:tblPr>
      <w:tblGrid>
        <w:gridCol w:w="1171"/>
        <w:gridCol w:w="1031"/>
        <w:gridCol w:w="1034"/>
        <w:gridCol w:w="211"/>
        <w:gridCol w:w="561"/>
        <w:gridCol w:w="109"/>
        <w:gridCol w:w="109"/>
        <w:gridCol w:w="109"/>
        <w:gridCol w:w="109"/>
        <w:gridCol w:w="211"/>
        <w:gridCol w:w="561"/>
        <w:gridCol w:w="109"/>
        <w:gridCol w:w="109"/>
        <w:gridCol w:w="109"/>
        <w:gridCol w:w="109"/>
        <w:gridCol w:w="211"/>
        <w:gridCol w:w="561"/>
        <w:gridCol w:w="109"/>
        <w:gridCol w:w="109"/>
        <w:gridCol w:w="109"/>
        <w:gridCol w:w="109"/>
        <w:gridCol w:w="211"/>
        <w:gridCol w:w="561"/>
        <w:gridCol w:w="109"/>
        <w:gridCol w:w="109"/>
        <w:gridCol w:w="109"/>
        <w:gridCol w:w="109"/>
        <w:gridCol w:w="211"/>
        <w:gridCol w:w="561"/>
        <w:gridCol w:w="109"/>
        <w:gridCol w:w="109"/>
        <w:gridCol w:w="109"/>
        <w:gridCol w:w="109"/>
        <w:gridCol w:w="211"/>
        <w:gridCol w:w="561"/>
        <w:gridCol w:w="157"/>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consolidated balance sheets:</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59"/>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59"/>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59"/>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obligations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59"/>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 in the balance sheet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reconciliation of amounts in the consolidated statements of stockholders’ equity for the fiscal years ended September 30,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99"/>
        <w:gridCol w:w="956"/>
        <w:gridCol w:w="960"/>
        <w:gridCol w:w="211"/>
        <w:gridCol w:w="545"/>
        <w:gridCol w:w="109"/>
        <w:gridCol w:w="109"/>
        <w:gridCol w:w="109"/>
        <w:gridCol w:w="109"/>
        <w:gridCol w:w="211"/>
        <w:gridCol w:w="650"/>
        <w:gridCol w:w="109"/>
        <w:gridCol w:w="109"/>
        <w:gridCol w:w="109"/>
        <w:gridCol w:w="109"/>
        <w:gridCol w:w="211"/>
        <w:gridCol w:w="545"/>
        <w:gridCol w:w="109"/>
        <w:gridCol w:w="109"/>
        <w:gridCol w:w="109"/>
        <w:gridCol w:w="109"/>
        <w:gridCol w:w="211"/>
        <w:gridCol w:w="650"/>
        <w:gridCol w:w="109"/>
        <w:gridCol w:w="109"/>
        <w:gridCol w:w="109"/>
        <w:gridCol w:w="109"/>
        <w:gridCol w:w="211"/>
        <w:gridCol w:w="545"/>
        <w:gridCol w:w="109"/>
        <w:gridCol w:w="109"/>
        <w:gridCol w:w="109"/>
        <w:gridCol w:w="109"/>
        <w:gridCol w:w="211"/>
        <w:gridCol w:w="650"/>
        <w:gridCol w:w="159"/>
      </w:tblGrid>
      <w:tr>
        <w:trPr/>
        <w:tc>
          <w:tcPr>
            <w:tcW w:w="109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amounts in consolidated statements of stockholders’ equity:</w:t>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59"/>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accumulated other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other than the service cost component are included in other income in the consolidated statement of operations. The following table details the components of net periodic benefit cost for the Company’s pension plans for fiscal years ended September 30, 2025, 2024 and 2023:</w:t>
      </w:r>
    </w:p>
    <w:tbl>
      <w:tblPr>
        <w:tblW w:w="10205" w:type="dxa"/>
        <w:jc w:val="left"/>
        <w:tblInd w:w="0" w:type="dxa"/>
        <w:tblLayout w:type="fixed"/>
        <w:tblCellMar>
          <w:top w:w="28" w:type="dxa"/>
          <w:left w:w="28" w:type="dxa"/>
          <w:bottom w:w="28" w:type="dxa"/>
          <w:right w:w="28" w:type="dxa"/>
        </w:tblCellMar>
      </w:tblPr>
      <w:tblGrid>
        <w:gridCol w:w="1316"/>
        <w:gridCol w:w="1156"/>
        <w:gridCol w:w="1159"/>
        <w:gridCol w:w="211"/>
        <w:gridCol w:w="406"/>
        <w:gridCol w:w="109"/>
        <w:gridCol w:w="109"/>
        <w:gridCol w:w="109"/>
        <w:gridCol w:w="109"/>
        <w:gridCol w:w="211"/>
        <w:gridCol w:w="584"/>
        <w:gridCol w:w="109"/>
        <w:gridCol w:w="109"/>
        <w:gridCol w:w="109"/>
        <w:gridCol w:w="109"/>
        <w:gridCol w:w="211"/>
        <w:gridCol w:w="406"/>
        <w:gridCol w:w="109"/>
        <w:gridCol w:w="109"/>
        <w:gridCol w:w="109"/>
        <w:gridCol w:w="109"/>
        <w:gridCol w:w="211"/>
        <w:gridCol w:w="584"/>
        <w:gridCol w:w="109"/>
        <w:gridCol w:w="109"/>
        <w:gridCol w:w="109"/>
        <w:gridCol w:w="109"/>
        <w:gridCol w:w="211"/>
        <w:gridCol w:w="406"/>
        <w:gridCol w:w="109"/>
        <w:gridCol w:w="109"/>
        <w:gridCol w:w="109"/>
        <w:gridCol w:w="109"/>
        <w:gridCol w:w="211"/>
        <w:gridCol w:w="584"/>
        <w:gridCol w:w="158"/>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loss (gain) recognized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applicable deferred income taxes included in other comprehensive income arising from a change in net prior service cost and net gain/loss was $1.1 million, $2.1 million, and $3.1 million in the years ended September 30, 2025, 2024 and 2023,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included in accumulated other comprehensive loss as of September 30, 2025 that are expected to be recognized as components of net periodic benefit cost during fiscal 2026 are (in millions):</w:t>
      </w:r>
    </w:p>
    <w:tbl>
      <w:tblPr>
        <w:tblW w:w="5484" w:type="dxa"/>
        <w:jc w:val="center"/>
        <w:tblInd w:w="0" w:type="dxa"/>
        <w:tblLayout w:type="fixed"/>
        <w:tblCellMar>
          <w:top w:w="28" w:type="dxa"/>
          <w:left w:w="28" w:type="dxa"/>
          <w:bottom w:w="28" w:type="dxa"/>
          <w:right w:w="28" w:type="dxa"/>
        </w:tblCellMar>
      </w:tblPr>
      <w:tblGrid>
        <w:gridCol w:w="1271"/>
        <w:gridCol w:w="1117"/>
        <w:gridCol w:w="1122"/>
        <w:gridCol w:w="211"/>
        <w:gridCol w:w="481"/>
        <w:gridCol w:w="109"/>
        <w:gridCol w:w="109"/>
        <w:gridCol w:w="109"/>
        <w:gridCol w:w="109"/>
        <w:gridCol w:w="211"/>
        <w:gridCol w:w="48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 gain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additional year-end information for pension plans with accumulated benefit obligations in excess of plan assets.</w:t>
      </w:r>
    </w:p>
    <w:tbl>
      <w:tblPr>
        <w:tblW w:w="10010" w:type="dxa"/>
        <w:jc w:val="left"/>
        <w:tblInd w:w="0" w:type="dxa"/>
        <w:tblLayout w:type="fixed"/>
        <w:tblCellMar>
          <w:top w:w="28" w:type="dxa"/>
          <w:left w:w="28" w:type="dxa"/>
          <w:bottom w:w="28" w:type="dxa"/>
          <w:right w:w="28" w:type="dxa"/>
        </w:tblCellMar>
      </w:tblPr>
      <w:tblGrid>
        <w:gridCol w:w="982"/>
        <w:gridCol w:w="865"/>
        <w:gridCol w:w="8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Funding requirements for each pension plan are determined based on the local laws of the country where such pension plan resides. In certain countries, the funding requirements are mandatory while in other countries, they are discretionary. The Company currently intends to contribute $25.0 million to the international plans in fiscal 2026. The required minimum contributions for U.S. plans are not significant. In addition, the Company may make discretionary contributions. The Company currently intends to contribute $10.8 million to U.S. plans in fiscal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expected future benefit payments, in millions:</w:t>
      </w:r>
    </w:p>
    <w:tbl>
      <w:tblPr>
        <w:tblW w:w="473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211"/>
        <w:gridCol w:w="616"/>
        <w:gridCol w:w="109"/>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Year Ending September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underlying assumptions for the pension plans are as follows:</w:t>
      </w:r>
    </w:p>
    <w:tbl>
      <w:tblPr>
        <w:tblW w:w="10205" w:type="dxa"/>
        <w:jc w:val="left"/>
        <w:tblInd w:w="0" w:type="dxa"/>
        <w:tblLayout w:type="fixed"/>
        <w:tblCellMar>
          <w:top w:w="28" w:type="dxa"/>
          <w:left w:w="28" w:type="dxa"/>
          <w:bottom w:w="28" w:type="dxa"/>
          <w:right w:w="28" w:type="dxa"/>
        </w:tblCellMar>
      </w:tblPr>
      <w:tblGrid>
        <w:gridCol w:w="1270"/>
        <w:gridCol w:w="1115"/>
        <w:gridCol w:w="111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56"/>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assumptions to determine benefit obligation:</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Salary increase rate</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assumptions to determine net periodic benefit cost:</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Salary increase rate</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long-term rate of return on plan assets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Pension costs are determined using the assumptions as of the beginning of the plan year. The funded status is determined using the assumptions as of the end of the plan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target allocation for 2025 and pension plan asset allocation, both U.S. and International, as of September 30, 2025 and 2024:</w:t>
      </w:r>
    </w:p>
    <w:tbl>
      <w:tblPr>
        <w:tblW w:w="8357" w:type="dxa"/>
        <w:jc w:val="left"/>
        <w:tblInd w:w="0" w:type="dxa"/>
        <w:tblLayout w:type="fixed"/>
        <w:tblCellMar>
          <w:top w:w="28" w:type="dxa"/>
          <w:left w:w="28" w:type="dxa"/>
          <w:bottom w:w="28" w:type="dxa"/>
          <w:right w:w="28" w:type="dxa"/>
        </w:tblCellMar>
      </w:tblPr>
      <w:tblGrid>
        <w:gridCol w:w="662"/>
        <w:gridCol w:w="582"/>
        <w:gridCol w:w="586"/>
        <w:gridCol w:w="231"/>
        <w:gridCol w:w="235"/>
        <w:gridCol w:w="302"/>
        <w:gridCol w:w="121"/>
        <w:gridCol w:w="121"/>
        <w:gridCol w:w="121"/>
        <w:gridCol w:w="232"/>
        <w:gridCol w:w="234"/>
        <w:gridCol w:w="302"/>
        <w:gridCol w:w="109"/>
        <w:gridCol w:w="109"/>
        <w:gridCol w:w="109"/>
        <w:gridCol w:w="232"/>
        <w:gridCol w:w="234"/>
        <w:gridCol w:w="271"/>
        <w:gridCol w:w="109"/>
        <w:gridCol w:w="109"/>
        <w:gridCol w:w="109"/>
        <w:gridCol w:w="232"/>
        <w:gridCol w:w="234"/>
        <w:gridCol w:w="271"/>
        <w:gridCol w:w="109"/>
        <w:gridCol w:w="109"/>
        <w:gridCol w:w="109"/>
        <w:gridCol w:w="232"/>
        <w:gridCol w:w="234"/>
        <w:gridCol w:w="271"/>
        <w:gridCol w:w="109"/>
        <w:gridCol w:w="109"/>
        <w:gridCol w:w="109"/>
        <w:gridCol w:w="232"/>
        <w:gridCol w:w="234"/>
        <w:gridCol w:w="271"/>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Plan Assets</w:t>
              <w:br/>
              <w:t xml:space="preserve">as of September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Target Allocations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Category:</w:t>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domestic and foreign plans seek a competitive rate of return relative to an appropriate level of risk depending on the funded status and obligations of each plan and typically employ both active and passive investment management strategies. The Company’s risk management practices include diversification across asset classes and investment styles and periodic rebalancing toward asset allocation targets. The target asset allocation selected for each plan reflects a risk/return profile that the Company believes is appropriate relative to each plan’s liability structure and return goals.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develop the expected long-term rate of return on assets assumption, the Company considered the historical returns and the future expectations for returns for each asset class, as well as the target asset allocation of the pension portfolio and the diversification of the portfolio. This resulted in the selection of a 6.25% and 5.51% weighted-average long-term rate of return on assets assumption for the fiscal year ended September 30, 2025 for U.S. and non-U.S. plans,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fair values of the Company’s pension plan assets by major asset categories were as follows:</w:t>
      </w:r>
    </w:p>
    <w:tbl>
      <w:tblPr>
        <w:tblW w:w="9219" w:type="dxa"/>
        <w:jc w:val="left"/>
        <w:tblInd w:w="0" w:type="dxa"/>
        <w:tblLayout w:type="fixed"/>
        <w:tblCellMar>
          <w:top w:w="28" w:type="dxa"/>
          <w:left w:w="28" w:type="dxa"/>
          <w:bottom w:w="28" w:type="dxa"/>
          <w:right w:w="28" w:type="dxa"/>
        </w:tblCellMar>
      </w:tblPr>
      <w:tblGrid>
        <w:gridCol w:w="1005"/>
        <w:gridCol w:w="883"/>
        <w:gridCol w:w="887"/>
        <w:gridCol w:w="257"/>
        <w:gridCol w:w="750"/>
        <w:gridCol w:w="132"/>
        <w:gridCol w:w="109"/>
        <w:gridCol w:w="109"/>
        <w:gridCol w:w="109"/>
        <w:gridCol w:w="211"/>
        <w:gridCol w:w="616"/>
        <w:gridCol w:w="109"/>
        <w:gridCol w:w="109"/>
        <w:gridCol w:w="109"/>
        <w:gridCol w:w="109"/>
        <w:gridCol w:w="270"/>
        <w:gridCol w:w="520"/>
        <w:gridCol w:w="141"/>
        <w:gridCol w:w="109"/>
        <w:gridCol w:w="109"/>
        <w:gridCol w:w="109"/>
        <w:gridCol w:w="318"/>
        <w:gridCol w:w="612"/>
        <w:gridCol w:w="166"/>
        <w:gridCol w:w="109"/>
        <w:gridCol w:w="109"/>
        <w:gridCol w:w="109"/>
        <w:gridCol w:w="222"/>
        <w:gridCol w:w="649"/>
        <w:gridCol w:w="163"/>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 as of</w:t>
              <w:b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w:t>
              <w:br/>
              <w:t xml:space="preserve">Prices in </w:t>
              <w:br/>
              <w:t>Active</w:t>
              <w:br/>
              <w:t>Markets</w:t>
              <w:b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Investments</w:t>
              <w:br/>
              <w:t>measured at</w:t>
              <w:br/>
              <w:t>NAV</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and equity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 fund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2024, the fair values of the Company’s pension plan assets by major asset categories were as follows:</w:t>
      </w:r>
    </w:p>
    <w:tbl>
      <w:tblPr>
        <w:tblW w:w="9219" w:type="dxa"/>
        <w:jc w:val="left"/>
        <w:tblInd w:w="0" w:type="dxa"/>
        <w:tblLayout w:type="fixed"/>
        <w:tblCellMar>
          <w:top w:w="28" w:type="dxa"/>
          <w:left w:w="28" w:type="dxa"/>
          <w:bottom w:w="28" w:type="dxa"/>
          <w:right w:w="28" w:type="dxa"/>
        </w:tblCellMar>
      </w:tblPr>
      <w:tblGrid>
        <w:gridCol w:w="1005"/>
        <w:gridCol w:w="883"/>
        <w:gridCol w:w="887"/>
        <w:gridCol w:w="257"/>
        <w:gridCol w:w="750"/>
        <w:gridCol w:w="132"/>
        <w:gridCol w:w="109"/>
        <w:gridCol w:w="109"/>
        <w:gridCol w:w="109"/>
        <w:gridCol w:w="211"/>
        <w:gridCol w:w="616"/>
        <w:gridCol w:w="109"/>
        <w:gridCol w:w="109"/>
        <w:gridCol w:w="109"/>
        <w:gridCol w:w="109"/>
        <w:gridCol w:w="270"/>
        <w:gridCol w:w="520"/>
        <w:gridCol w:w="141"/>
        <w:gridCol w:w="109"/>
        <w:gridCol w:w="109"/>
        <w:gridCol w:w="109"/>
        <w:gridCol w:w="318"/>
        <w:gridCol w:w="612"/>
        <w:gridCol w:w="166"/>
        <w:gridCol w:w="109"/>
        <w:gridCol w:w="109"/>
        <w:gridCol w:w="109"/>
        <w:gridCol w:w="222"/>
        <w:gridCol w:w="649"/>
        <w:gridCol w:w="163"/>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 as of</w:t>
              <w:b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w:t>
              <w:br/>
              <w:t xml:space="preserve">Prices in </w:t>
              <w:br/>
              <w:t>Active</w:t>
              <w:br/>
              <w:t>Markets</w:t>
              <w:b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Investments</w:t>
              <w:br/>
              <w:t>measured at</w:t>
              <w:br/>
              <w:t>NAV</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and equity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 fund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equivalents are mostly comprised of short-term money-market instruments and are valued at cost, which approximates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investment funds not traded on an active exchange, or if the closing price is not available, the trustee obtains indicative quotes from a pricing vendor, broker, or investment manager. These funds are categorized as Level 2 if the custodian obtains corroborated quotes from a pricing vendor or categorized as Level 3 if the custodian obtains uncorroborated quotes from a broker or investment manager.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Fixed income investment funds, not traded on an active exchange,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Common collective investment funds are valued based on net asset value (NAV) per share or unit as a practical expedient as reported by the fund manager, multiplied by the number of shares or units held as of the measurement date. Accordingly, these NAV-based investments have been excluded from the fair value hierarchy. These collective investment funds have redemption notice periods and are redeemable at the NAV, less transaction fees. There are no significant unfunded commitments related to these investments.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Multiemployer Pension Plans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construction-industry multiemployer pension plans. Generally, the plans provide defined benefits to substantially all employees covered by collective bargaining agreements. Under the Employee Retirement Income Security Act, a contributor to a multiemployer plan is liable, upon termination or withdrawal from a plan, for its proportionate share of a plan’s unfunded vested liability. The Company’s aggregate contributions to these multiemployer plans were $2.7 million and $2.5 million for the years ended September 30, 2025 and 2024, respectively. At September 30, 2025 and 2024, none of the plans in which the Company participates are individually significant to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7286" w:type="dxa"/>
        <w:jc w:val="center"/>
        <w:tblInd w:w="0" w:type="dxa"/>
        <w:tblLayout w:type="fixed"/>
        <w:tblCellMar>
          <w:top w:w="28" w:type="dxa"/>
          <w:left w:w="28" w:type="dxa"/>
          <w:bottom w:w="28" w:type="dxa"/>
          <w:right w:w="28" w:type="dxa"/>
        </w:tblCellMar>
      </w:tblPr>
      <w:tblGrid>
        <w:gridCol w:w="1678"/>
        <w:gridCol w:w="1474"/>
        <w:gridCol w:w="1483"/>
        <w:gridCol w:w="221"/>
        <w:gridCol w:w="804"/>
        <w:gridCol w:w="114"/>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the Company’s debt as of September 30, 2025:</w:t>
      </w:r>
    </w:p>
    <w:tbl>
      <w:tblPr>
        <w:tblW w:w="240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Amendment No. 14 to Syndicated Facility Agreement (as amended, modified or otherwise supplemented, the “Credit Agreement”), pursuant to which the Company obtained a new $$1,500,000,000 revolving credit facility (the “New Revolving Credit Facility”), a new $750,000,000 term loan A facility (the “New Term A Facility” and, together with the New Revolving Credit Facility, the “New Pro Rata Facilities”) and a new $700,000,000 term loan B facility (the “New Term B Facility” and, together with the New Pro Rata Facilities, the “New Credit Facilities”). The New Revolving Credit Facility and the New Term A Facility mature on April 19, 2029. The New Term B Facility matures on April 19, 2031. The New Term A Facility and the New Term B Facility were borrowed in full on April 19, 2024 in U.S. dollars. Loans under the New Revolving Credit Facility may be borrowed, and letters of credit thereunder may be issued, in U.S. dollars or in certain foreign currencies. The New Credit Facilities replace in full the Company’s then-existing revolving credit facility, term loan A facility and term loan B facility, and borrowings under the New Credit Facilities were used to refinance in full the Company’s existing credit facilities and for general corporate purposes. The Credit Agreement permits the Company to designate certain of its subsidiaries as additional co-borrowers from time to time. Currently, there are no co-borrowers under the New Credit Facilities. On October 29, 2024, the Company entered into Amendment No. 15 to Syndicated Facility Agreement, pursuant to which the Company reduced the interest rate spread applicable to its New Term B Facility.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(a) the New Revolving Credit Facility (in U.S. dollars) and the New Term A Facility bear interest at a rate per annum equal to, at the Company’s option, (i) a Term SOFR rate (with a 0% floor and SOFR adjustment of 0.10%) or (ii) a base rate (with a 0% floor), in each case, as of September 30, 2025, plus an applicable margin of 1.225% in the case of the Term SOFR rate and 0.225% in the case of the base rate, and (b) the New Revolving Credit Facility in currencies other than U.S. dollars bear interest at a rate per annum equal to the applicable reference rate for such currency (including any related adjustments), plus an applicable margin of 1.225%. The applicable margin is subject, in each case, to adjustment based on the Company’s consolidated leverage ratio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New Term B Facility, after giving effect to Amendment No. 15 to Syndicated Facility Agreement, bear interest at a rate per annum equal to, at the Company’s option, (a) a Term SOFR rate (with a 0% floor and a SOFR adjustment of 0%) or (b) a base rate (with a 0% floor), in each case, plus an applicable margin of 1.75% in the case of the Term SOFR rate and 0.75% in the case of the base rate.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Company’s material subsidiaries (the “Guarantors”) have guaranteed the Company’s obligations of the borrowers under the Credit Agreement, subject to certain exceptions. The borrowers’ obligations under the Credit Agreement are secured by a lien on substantially all of the Company’s assets and its Guarantors’ assets, subject to certain exceptions.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negative covenants that include, among other things, limitations on the ability of the Company and certain of its subsidiaries, subject to certain exceptions, to incur liens and debt, make investments, dispositions, and restricted payments, change the nature of their business, consummate mergers, consolidations and the sale of all or substantially all of their respective assets and transact with affiliates. The Company is also required to maintain a consolidated leverage ratio of less than or equal to 4.00 to 1.00 (subject to certain adjustments in connection with permitted acquisitions), tested on a quarterly basis (the “Financial Covenant”). The Financial Covenant does not apply to the New Term B Facility. As of September 30, 2025, the Company was in compliance with the covenants of the Credit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covenants, including, among other things, compliance with applicable law, preservation of existence, maintenance of properties and of insurance, and keeping proper books and records. The Credit Agreement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and September 30, 2024, letters of credit totaled $4.4 million and $4.4 million, respectively, under the Company’s New Revolving Credit Facility. As of September 30, 2025 and September 30, 2024, the Company had $1,495.6 million and $1,495.6 million, respectively, available under its New Revolving Credit Facility.</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2017, the Company completed a private placement offering of $1,000,000,000 aggregate principal amount of its unsecured 5.125% Senior Notes due 2027 (the “2027 Senior Notes”). On June 30, 2017,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Company completed an exchange offer to exchange the unregistered 2027 Senior Notes for registered notes, as well as related guarantees. In July 2025, the Company used a portion of the proceeds of the 2033 Senior Notes (defined below) to purchase $732,914,000 in principal amount of the 2027 Senior Notes that were validly tendered and not validly withdrawn at or prior to the expiration date of the tender offer for the 2027 Senior Notes. In August 2025, the Company redeemed the remaining 2027 Senior Notes with a portion of the proceeds of the 2033 Senior Notes. The purchase and redemption included an aggregate make-whole payment of $9.1 million. </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2025, the Company completed an offering of $1,200,000,000 aggregate principal amount of its 6.000% Senior Notes due 2033 (the “2033 Senior Notes”). As of September 30, 2025, the estimated fair value of the 2033 Senior Notes was approximately $1,227.0 million. The fair value of the 2033 Senior Notes as of September 30, 2025 was derived by taking the mid-point of the trading prices from an observable market input (Level 2) in the secondary bond market and multiplying it by the outstanding balance of the 2033 Senior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will be payable on the 2033 Senior Notes at a rate of 6.000% per annum. Interest on the 2033 Senior Notes will be payable semi-annually in arrears on February 1 and August 1 of each year, commencing on February 1, 2026. The 2033 Senior Notes will mature on August 1, 2033.</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August 1, 2028, the Company may redeem all or part of the 2033 Senior Notes at a redemption price equal to 100% of the principal amount to be redeemed, plus a “make whole” premium as of the redemption date, and accrued and unpaid interest to, but excluding, the redemption date. In addition, prior to August 1, 2028, the Company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the Company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tbl>
      <w:tblPr>
        <w:tblW w:w="3170" w:type="dxa"/>
        <w:jc w:val="center"/>
        <w:tblInd w:w="0" w:type="dxa"/>
        <w:tblLayout w:type="fixed"/>
        <w:tblCellMar>
          <w:top w:w="28" w:type="dxa"/>
          <w:left w:w="28" w:type="dxa"/>
          <w:bottom w:w="28" w:type="dxa"/>
          <w:right w:w="28" w:type="dxa"/>
        </w:tblCellMar>
      </w:tblPr>
      <w:tblGrid>
        <w:gridCol w:w="612"/>
        <w:gridCol w:w="537"/>
        <w:gridCol w:w="545"/>
        <w:gridCol w:w="413"/>
        <w:gridCol w:w="413"/>
        <w:gridCol w:w="65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103.000 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101.500 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contained customary events of default, including, among other things, payment default, failure to provide certain notices thereunder and certain provisions related to bankruptcy events. The indenture also contained customary negative covenants.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debt consists primarily of obligations under capital leases and loans, and unsecured credit facilities. The Company’s unsecured credit facilities are primarily used for standby letters of credit issued in connection with general and professional liability insurance programs and for contract performance guarantees. At September 30, 2025 and September 30, 2024, these outstanding standby letters of credit totaled $899.4 million and $934.5 million, respectively. As of September 30, 2025, the Company had $367.4 million available under these unsecured credit facilities.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average effective interest rate on its total debt, including the effects of the interest rate swap and interest rate cap agreements, during the years ended September 30, 2025, 2024 and 2023 was 5.1%, 5.6% and 5.3%,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years ended September 30, 2025, 2024 and 2023 of $7.4 million, $7.6 million and $4.9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Derivative Financial Instruments and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derivative contracts to hedge interest rate exposures on the Company’s variable rate debt. The Company enters into foreign currency derivative contracts with financial institutions to reduce the risk that its cash flows and earnings will be adversely affected by foreign currency exchange rate fluctuations. The Company’s hedging program is not designated for trading or speculative purposes.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derivative instruments as either assets or liabilities on the accompanying consolidated balance sheets at fair value. The Company records changes in the fair value (i.e., gains or losses) of the derivatives that have been designated as accounting hedges in the accompanying consolidated statements of operations as interest expense or to accumulated other comprehensive loss in the accompanying consolidated balance sheets.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Cash Flow Hedges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swap and interest rate cap agreements designated as cash flow hedges to limit exposure to variable interest rates on portions of the Company’s debt. The Company initially reports any gain on the effective portion of a cash flow hedge as a component of accumulated other comprehensive loss. Depending on the type of cash flow hedge, the gain is subsequently reclassified against interest expense when the interest expense on the variable rate debt is recognized. If the hedged transaction becomes probable of not occurring, any gain or loss related to interest rate swap or interest rate cap agreements would be recognized in other income.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notional principal, fixed rates and related effective and expiration dates of the Company’s outstanding interest rate swap agreements were as follows:</w:t>
      </w:r>
    </w:p>
    <w:tbl>
      <w:tblPr>
        <w:tblW w:w="7216"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21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tbl>
      <w:tblPr>
        <w:tblW w:w="7216"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21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2021, the Company entered into interest rate swap agreements with a notional value of $400.0 million to manage the interest rate exposure of its variable rate loans. The swaps became effective February 2023 and terminate in March 2028. By entering into the swap agreements, the Company converted a portion of the SOFR rate-based liability into a fixed-rate liability. The Company will pay a fixed rate of 1.283% and receive payment at the prevailing one-month SOFR.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2022, the Company purchased interest rate cap agreements with a notional value of $300.0 million to manage interest rate exposure of its variable rate loans. The caps became effective on June 30, 2022 and terminate in March 2028. The caps reduce the Company’s exposure to one-month SOFR. In the event one-month SOFR exceeds 3.465%, the Company will pay the spread between prevailing one-month SOFR and 3.465%.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17 for accumulated balances and reporting period activities of derivatives related to reclassifications out of accumulated other comprehensive loss for the years ended September 30, 2025, 2024 and 2023. Additionally, there were no material losses recognized in income due to amounts excluded from effectiveness testing from the Company’s interest rate swap agreements.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Other Foreign Currency Forward Contracts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foreign currency forward contracts which are not designated as accounting hedges to hedge intercompany transactions and other monetary assets or liabilities denominated in currencies other than the functional currency of a subsidiary. Gains and losses on these contracts were not material for the years ended September 30, 2025, 2024 and 2023.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and interest rate cap agreements were derived by taking the net present value of the expected cash flows using observable market inputs (Level 2) such as SOFR rate curves, futures, volatilities and basis spreads (when applicable).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3, the Company received an equity investment in the civil infrastructure construction business buyer and concurrently participated as a member of a lending group in a revolving credit facility. The Company elected the fair value option for its equity investment due to the availability of quoted prices of identical assets. The fair value option was also elected for the credit facility investment. Changes in fair value of both investments are classified within other income on the consolidated statements of operations. The Company records interest income at the stated coupon rate of the credit facility and classifies it within interest income on the consolidated statement of operations. Fair value for the equity investment is determined using Level 1 inputs, and fair value of the credit facility investment is determined using Level 3 inputs, such as estimated cash flows and estimated discount rates. The Company recorded a gain of $2.5 million and $7.2 million in other income during the years ended September 30, 2025 and September 30, 2024, respectively, representing the increase in fair value of these investments.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2025, the Company issued contingent consideration in connection with the acquisition of a business, with a maximum value of $17.7 million. The contingent consideration is a liability that is measured at fair value with changes in fair value reported through earnings. The contingent consideration is measured using Level 2 inputs, such as quoted market prices and volatilities.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the Company’s non-pension financial assets and liabilities recorded at fair value on a recurring basis within the ASC 820-10 fair value hierarchy:</w:t>
      </w:r>
    </w:p>
    <w:tbl>
      <w:tblPr>
        <w:tblW w:w="10205" w:type="dxa"/>
        <w:jc w:val="left"/>
        <w:tblInd w:w="0" w:type="dxa"/>
        <w:tblLayout w:type="fixed"/>
        <w:tblCellMar>
          <w:top w:w="28" w:type="dxa"/>
          <w:left w:w="28" w:type="dxa"/>
          <w:bottom w:w="28" w:type="dxa"/>
          <w:right w:w="28" w:type="dxa"/>
        </w:tblCellMar>
      </w:tblPr>
      <w:tblGrid>
        <w:gridCol w:w="828"/>
        <w:gridCol w:w="639"/>
        <w:gridCol w:w="644"/>
        <w:gridCol w:w="109"/>
        <w:gridCol w:w="109"/>
        <w:gridCol w:w="109"/>
        <w:gridCol w:w="694"/>
        <w:gridCol w:w="623"/>
        <w:gridCol w:w="625"/>
        <w:gridCol w:w="109"/>
        <w:gridCol w:w="109"/>
        <w:gridCol w:w="109"/>
        <w:gridCol w:w="337"/>
        <w:gridCol w:w="818"/>
        <w:gridCol w:w="173"/>
        <w:gridCol w:w="109"/>
        <w:gridCol w:w="109"/>
        <w:gridCol w:w="109"/>
        <w:gridCol w:w="339"/>
        <w:gridCol w:w="653"/>
        <w:gridCol w:w="176"/>
        <w:gridCol w:w="109"/>
        <w:gridCol w:w="109"/>
        <w:gridCol w:w="109"/>
        <w:gridCol w:w="278"/>
        <w:gridCol w:w="673"/>
        <w:gridCol w:w="145"/>
        <w:gridCol w:w="109"/>
        <w:gridCol w:w="109"/>
        <w:gridCol w:w="109"/>
        <w:gridCol w:w="220"/>
        <w:gridCol w:w="535"/>
        <w:gridCol w:w="170"/>
      </w:tblGrid>
      <w:tr>
        <w:trPr/>
        <w:tc>
          <w:tcPr>
            <w:tcW w:w="8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Observable</w:t>
              <w:br/>
              <w:t>Inputs (Level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5"/>
        <w:gridCol w:w="647"/>
        <w:gridCol w:w="652"/>
        <w:gridCol w:w="109"/>
        <w:gridCol w:w="109"/>
        <w:gridCol w:w="109"/>
        <w:gridCol w:w="697"/>
        <w:gridCol w:w="632"/>
        <w:gridCol w:w="633"/>
        <w:gridCol w:w="109"/>
        <w:gridCol w:w="109"/>
        <w:gridCol w:w="109"/>
        <w:gridCol w:w="340"/>
        <w:gridCol w:w="825"/>
        <w:gridCol w:w="175"/>
        <w:gridCol w:w="109"/>
        <w:gridCol w:w="109"/>
        <w:gridCol w:w="109"/>
        <w:gridCol w:w="297"/>
        <w:gridCol w:w="722"/>
        <w:gridCol w:w="155"/>
        <w:gridCol w:w="109"/>
        <w:gridCol w:w="109"/>
        <w:gridCol w:w="109"/>
        <w:gridCol w:w="278"/>
        <w:gridCol w:w="673"/>
        <w:gridCol w:w="145"/>
        <w:gridCol w:w="109"/>
        <w:gridCol w:w="109"/>
        <w:gridCol w:w="109"/>
        <w:gridCol w:w="221"/>
        <w:gridCol w:w="536"/>
        <w:gridCol w:w="167"/>
      </w:tblGrid>
      <w:tr>
        <w:trPr/>
        <w:tc>
          <w:tcPr>
            <w:tcW w:w="77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30, 2024</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a summary of changes in the fair value of the Company’s Level 3 investment assets:</w:t>
      </w:r>
    </w:p>
    <w:tbl>
      <w:tblPr>
        <w:tblW w:w="10205" w:type="dxa"/>
        <w:jc w:val="left"/>
        <w:tblInd w:w="0" w:type="dxa"/>
        <w:tblLayout w:type="fixed"/>
        <w:tblCellMar>
          <w:top w:w="28" w:type="dxa"/>
          <w:left w:w="28" w:type="dxa"/>
          <w:bottom w:w="28" w:type="dxa"/>
          <w:right w:w="28" w:type="dxa"/>
        </w:tblCellMar>
      </w:tblPr>
      <w:tblGrid>
        <w:gridCol w:w="1027"/>
        <w:gridCol w:w="902"/>
        <w:gridCol w:w="905"/>
        <w:gridCol w:w="211"/>
        <w:gridCol w:w="511"/>
        <w:gridCol w:w="109"/>
        <w:gridCol w:w="109"/>
        <w:gridCol w:w="109"/>
        <w:gridCol w:w="109"/>
        <w:gridCol w:w="342"/>
        <w:gridCol w:w="342"/>
        <w:gridCol w:w="344"/>
        <w:gridCol w:w="109"/>
        <w:gridCol w:w="109"/>
        <w:gridCol w:w="109"/>
        <w:gridCol w:w="322"/>
        <w:gridCol w:w="322"/>
        <w:gridCol w:w="324"/>
        <w:gridCol w:w="109"/>
        <w:gridCol w:w="109"/>
        <w:gridCol w:w="109"/>
        <w:gridCol w:w="255"/>
        <w:gridCol w:w="256"/>
        <w:gridCol w:w="181"/>
        <w:gridCol w:w="109"/>
        <w:gridCol w:w="109"/>
        <w:gridCol w:w="109"/>
        <w:gridCol w:w="300"/>
        <w:gridCol w:w="300"/>
        <w:gridCol w:w="301"/>
        <w:gridCol w:w="109"/>
        <w:gridCol w:w="109"/>
        <w:gridCol w:w="109"/>
        <w:gridCol w:w="109"/>
        <w:gridCol w:w="109"/>
        <w:gridCol w:w="263"/>
        <w:gridCol w:w="637"/>
        <w:gridCol w:w="19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Year-ended September 30, 2025</w:t>
            </w:r>
          </w:p>
        </w:tc>
        <w:tc>
          <w:tcPr>
            <w:tcW w:w="1207"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w:t>
              <w:br/>
              <w:t>Gains/(Losses)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Earned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Collections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 Balance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1"/>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c>
          <w:tcPr>
            <w:tcW w:w="1207"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 including accrued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9"/>
        <w:gridCol w:w="903"/>
        <w:gridCol w:w="906"/>
        <w:gridCol w:w="240"/>
        <w:gridCol w:w="461"/>
        <w:gridCol w:w="125"/>
        <w:gridCol w:w="109"/>
        <w:gridCol w:w="109"/>
        <w:gridCol w:w="109"/>
        <w:gridCol w:w="342"/>
        <w:gridCol w:w="342"/>
        <w:gridCol w:w="344"/>
        <w:gridCol w:w="109"/>
        <w:gridCol w:w="109"/>
        <w:gridCol w:w="109"/>
        <w:gridCol w:w="322"/>
        <w:gridCol w:w="322"/>
        <w:gridCol w:w="324"/>
        <w:gridCol w:w="109"/>
        <w:gridCol w:w="109"/>
        <w:gridCol w:w="109"/>
        <w:gridCol w:w="255"/>
        <w:gridCol w:w="256"/>
        <w:gridCol w:w="181"/>
        <w:gridCol w:w="109"/>
        <w:gridCol w:w="109"/>
        <w:gridCol w:w="109"/>
        <w:gridCol w:w="300"/>
        <w:gridCol w:w="300"/>
        <w:gridCol w:w="301"/>
        <w:gridCol w:w="109"/>
        <w:gridCol w:w="109"/>
        <w:gridCol w:w="109"/>
        <w:gridCol w:w="109"/>
        <w:gridCol w:w="109"/>
        <w:gridCol w:w="263"/>
        <w:gridCol w:w="637"/>
        <w:gridCol w:w="199"/>
      </w:tblGrid>
      <w:tr>
        <w:trPr/>
        <w:tc>
          <w:tcPr>
            <w:tcW w:w="102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gridSpan w:val="3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Year-ended September 30, 2024</w:t>
            </w:r>
          </w:p>
        </w:tc>
        <w:tc>
          <w:tcPr>
            <w:tcW w:w="1208" w:type="dxa"/>
            <w:gridSpan w:val="4"/>
            <w:tcBorders/>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w:t>
              <w:br/>
              <w:t>Gains/(Losses)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Earned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Collections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 Balance</w:t>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c>
          <w:tcPr>
            <w:tcW w:w="1208" w:type="dxa"/>
            <w:gridSpan w:val="4"/>
            <w:tcBorders/>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 including accrued interest</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Concentration of Credit Risk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concentrations of credit risk consist principally of cash investments and trade receivables. The Company’s cash balances and short-term investments are maintained in accounts held by major banks and financial institutions located primarily in the U.S., Canada, Europe, Australia, Middle East and Hong Kong. If the Company extends significant credit to clients in a specific geographic area or industry, the Company may experience disproportionately high levels of default if those clients are adversely affected by factors particular to their geographic area or industry. Concentrations of credit risk with respect to trade receivables are limited due to the large number of customers comprising the Company’s customer base, including, in large part, governments, government agencies and quasi-government organizations, and their dispersion across many different industries and geographies. See Note 4 regarding the Company’s foreign revenues. In order to mitigate credit risk, the Company continually reviews the credit worthiness of its major private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lessees in non-cancelable leasing agreements for office buildings and equipment. Substantially all of the Company’s office building leases are operating leases, and its equipment leases are both operating and finance leases. The Company groups lease and non-lease components for its equipment leases into a single lease component but separates lease and non-lease components for its office building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a right-of-use asset and lease liability for its operating leases at the commencement date equal to the present value of the contractual minimum lease payments over the lease term. The present value is calculated using the rate implicit in the lease, if known, or the Company’s incremental secured borrowing rate. The discount rate used for operating leases is primarily determined based on an analysis of the Company’s incremental secured borrowing rate, while the discount rate used for finance leases is primarily determined by the rate specified in the lease.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related lease payments are expensed on a straight-line basis over the lease term, including, as applicable, any free-rent period during which the Company has the right to use the asset.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2023, the Company approved a restructuring plan primarily to optimize its office real estate portfolio with its freedom to grow strategy, which initiated a review of the carrying value of right-of-use assets and leasehold improvements. In connection with the review, the Company identified leased assets that were no longer recoverable. The Company recorded an impairment charge of $86.2 million to reduce its right-of-use assets and leasehold improvements to their fair values and recorded the expense in restructuring costs on the Consolidated Statement of Operations. Fair value was determined primarily using Level 3 inputs, such as discounted cash flows.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expenses are as follows:</w:t>
      </w:r>
    </w:p>
    <w:tbl>
      <w:tblPr>
        <w:tblW w:w="8244" w:type="dxa"/>
        <w:jc w:val="center"/>
        <w:tblInd w:w="0" w:type="dxa"/>
        <w:tblLayout w:type="fixed"/>
        <w:tblCellMar>
          <w:top w:w="28" w:type="dxa"/>
          <w:left w:w="28" w:type="dxa"/>
          <w:bottom w:w="28" w:type="dxa"/>
          <w:right w:w="28" w:type="dxa"/>
        </w:tblCellMar>
      </w:tblPr>
      <w:tblGrid>
        <w:gridCol w:w="1053"/>
        <w:gridCol w:w="925"/>
        <w:gridCol w:w="932"/>
        <w:gridCol w:w="348"/>
        <w:gridCol w:w="1017"/>
        <w:gridCol w:w="180"/>
        <w:gridCol w:w="109"/>
        <w:gridCol w:w="109"/>
        <w:gridCol w:w="109"/>
        <w:gridCol w:w="348"/>
        <w:gridCol w:w="1017"/>
        <w:gridCol w:w="180"/>
        <w:gridCol w:w="109"/>
        <w:gridCol w:w="109"/>
        <w:gridCol w:w="109"/>
        <w:gridCol w:w="342"/>
        <w:gridCol w:w="999"/>
        <w:gridCol w:w="249"/>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balance sheet information related to leases is as follows:</w:t>
      </w:r>
    </w:p>
    <w:tbl>
      <w:tblPr>
        <w:tblW w:w="10205" w:type="dxa"/>
        <w:jc w:val="left"/>
        <w:tblInd w:w="0" w:type="dxa"/>
        <w:tblLayout w:type="fixed"/>
        <w:tblCellMar>
          <w:top w:w="28" w:type="dxa"/>
          <w:left w:w="28" w:type="dxa"/>
          <w:bottom w:w="28" w:type="dxa"/>
          <w:right w:w="28" w:type="dxa"/>
        </w:tblCellMar>
      </w:tblPr>
      <w:tblGrid>
        <w:gridCol w:w="988"/>
        <w:gridCol w:w="831"/>
        <w:gridCol w:w="835"/>
        <w:gridCol w:w="109"/>
        <w:gridCol w:w="109"/>
        <w:gridCol w:w="109"/>
        <w:gridCol w:w="1182"/>
        <w:gridCol w:w="1182"/>
        <w:gridCol w:w="1185"/>
        <w:gridCol w:w="109"/>
        <w:gridCol w:w="109"/>
        <w:gridCol w:w="109"/>
        <w:gridCol w:w="334"/>
        <w:gridCol w:w="978"/>
        <w:gridCol w:w="173"/>
        <w:gridCol w:w="109"/>
        <w:gridCol w:w="109"/>
        <w:gridCol w:w="109"/>
        <w:gridCol w:w="329"/>
        <w:gridCol w:w="962"/>
        <w:gridCol w:w="245"/>
      </w:tblGrid>
      <w:tr>
        <w:trPr/>
        <w:tc>
          <w:tcPr>
            <w:tcW w:w="98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as noted)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7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2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9830" w:type="dxa"/>
        <w:jc w:val="center"/>
        <w:tblInd w:w="0" w:type="dxa"/>
        <w:tblLayout w:type="fixed"/>
        <w:tblCellMar>
          <w:top w:w="28" w:type="dxa"/>
          <w:left w:w="28" w:type="dxa"/>
          <w:bottom w:w="28" w:type="dxa"/>
          <w:right w:w="28" w:type="dxa"/>
        </w:tblCellMar>
      </w:tblPr>
      <w:tblGrid>
        <w:gridCol w:w="1507"/>
        <w:gridCol w:w="1327"/>
        <w:gridCol w:w="1335"/>
        <w:gridCol w:w="344"/>
        <w:gridCol w:w="344"/>
        <w:gridCol w:w="857"/>
        <w:gridCol w:w="109"/>
        <w:gridCol w:w="109"/>
        <w:gridCol w:w="109"/>
        <w:gridCol w:w="344"/>
        <w:gridCol w:w="344"/>
        <w:gridCol w:w="857"/>
        <w:gridCol w:w="109"/>
        <w:gridCol w:w="109"/>
        <w:gridCol w:w="109"/>
        <w:gridCol w:w="344"/>
        <w:gridCol w:w="344"/>
        <w:gridCol w:w="857"/>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cash flow information related to leases is as follows:</w:t>
      </w:r>
    </w:p>
    <w:tbl>
      <w:tblPr>
        <w:tblW w:w="9981" w:type="dxa"/>
        <w:jc w:val="center"/>
        <w:tblInd w:w="0" w:type="dxa"/>
        <w:tblLayout w:type="fixed"/>
        <w:tblCellMar>
          <w:top w:w="28" w:type="dxa"/>
          <w:left w:w="28" w:type="dxa"/>
          <w:bottom w:w="28" w:type="dxa"/>
          <w:right w:w="28" w:type="dxa"/>
        </w:tblCellMar>
      </w:tblPr>
      <w:tblGrid>
        <w:gridCol w:w="2126"/>
        <w:gridCol w:w="1864"/>
        <w:gridCol w:w="1874"/>
        <w:gridCol w:w="257"/>
        <w:gridCol w:w="750"/>
        <w:gridCol w:w="132"/>
        <w:gridCol w:w="109"/>
        <w:gridCol w:w="109"/>
        <w:gridCol w:w="109"/>
        <w:gridCol w:w="257"/>
        <w:gridCol w:w="750"/>
        <w:gridCol w:w="132"/>
        <w:gridCol w:w="109"/>
        <w:gridCol w:w="109"/>
        <w:gridCol w:w="109"/>
        <w:gridCol w:w="255"/>
        <w:gridCol w:w="744"/>
        <w:gridCol w:w="186"/>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remaining lease payments under both the Company’s operating and finance leases are as follows:</w:t>
      </w:r>
    </w:p>
    <w:tbl>
      <w:tblPr>
        <w:tblW w:w="6263" w:type="dxa"/>
        <w:jc w:val="center"/>
        <w:tblInd w:w="0" w:type="dxa"/>
        <w:tblLayout w:type="fixed"/>
        <w:tblCellMar>
          <w:top w:w="28" w:type="dxa"/>
          <w:left w:w="28" w:type="dxa"/>
          <w:bottom w:w="28" w:type="dxa"/>
          <w:right w:w="28" w:type="dxa"/>
        </w:tblCellMar>
      </w:tblPr>
      <w:tblGrid>
        <w:gridCol w:w="1089"/>
        <w:gridCol w:w="956"/>
        <w:gridCol w:w="969"/>
        <w:gridCol w:w="109"/>
        <w:gridCol w:w="109"/>
        <w:gridCol w:w="109"/>
        <w:gridCol w:w="285"/>
        <w:gridCol w:w="933"/>
        <w:gridCol w:w="147"/>
        <w:gridCol w:w="109"/>
        <w:gridCol w:w="109"/>
        <w:gridCol w:w="109"/>
        <w:gridCol w:w="296"/>
        <w:gridCol w:w="718"/>
        <w:gridCol w:w="216"/>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240"/>
        <w:ind w:left="0" w:right="0" w:firstLine="720"/>
        <w:jc w:val="both"/>
        <w:rPr/>
      </w:pPr>
      <w:r>
        <w:rPr>
          <w:rFonts w:ascii="Times New Roman;serif" w:hAnsi="Times New Roman;serif"/>
          <w:b/>
          <w:i/>
          <w:color w:val="000000"/>
          <w:sz w:val="20"/>
        </w:rPr>
        <w:t>Common Stock Units</w:t>
      </w:r>
      <w:r>
        <w:rPr>
          <w:color w:val="000000"/>
        </w:rPr>
        <w:t>—</w:t>
      </w:r>
      <w:r>
        <w:rPr>
          <w:rFonts w:ascii="Times New Roman;serif" w:hAnsi="Times New Roman;serif"/>
          <w:b w:val="false"/>
          <w:color w:val="000000"/>
          <w:sz w:val="20"/>
        </w:rPr>
        <w:t>Common stock units are only redeemable for common stock. In the event of liquidation of the Company, holders of stock units are entitled to no greater rights than holders of common stock. See also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Share-Based Payments</w:t>
      </w:r>
    </w:p>
    <w:p>
      <w:pPr>
        <w:pStyle w:val="TextBody"/>
        <w:bidi w:val="0"/>
        <w:spacing w:lineRule="auto" w:line="288" w:before="0" w:after="240"/>
        <w:ind w:left="0" w:right="0" w:firstLine="720"/>
        <w:jc w:val="both"/>
        <w:rPr/>
      </w:pPr>
      <w:r>
        <w:rPr>
          <w:rFonts w:ascii="Times New Roman;serif" w:hAnsi="Times New Roman;serif"/>
          <w:b/>
          <w:i/>
          <w:color w:val="000000"/>
          <w:sz w:val="20"/>
        </w:rPr>
        <w:t>Defined Contribution Plans</w:t>
      </w:r>
      <w:r>
        <w:rPr>
          <w:color w:val="000000"/>
        </w:rPr>
        <w:t>—</w:t>
      </w:r>
      <w:r>
        <w:rPr>
          <w:rFonts w:ascii="Times New Roman;serif" w:hAnsi="Times New Roman;serif"/>
          <w:b w:val="false"/>
          <w:color w:val="000000"/>
          <w:sz w:val="20"/>
        </w:rPr>
        <w:t xml:space="preserve">Substantially all permanent domestic employees are eligible to participate in defined contribution plans provided by the Company. Under these plans, participants may make contributions into a variety of funds, including a fund that is fully invested in Company stock. Employees are not required to allocate any funds to Company stock; however, the Company does provide an annual Company match in AECOM shares. Employees may generally reallocate their account balances on a daily basis; however, employees classified as insiders are restricted under the Company’s insider trading policy. Compensation expense for the employer contributions related to AECOM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issued under defined contribution plans during fiscal years ended September 30, 2025, 2024 and 2023 was $26.0 million, $24.7 million, and $23.1 million, respectively. </w:t>
      </w:r>
    </w:p>
    <w:p>
      <w:pPr>
        <w:pStyle w:val="TextBody"/>
        <w:bidi w:val="0"/>
        <w:spacing w:lineRule="auto" w:line="288" w:before="0" w:after="240"/>
        <w:ind w:left="0" w:right="0" w:firstLine="720"/>
        <w:jc w:val="both"/>
        <w:rPr/>
      </w:pPr>
      <w:r>
        <w:rPr>
          <w:rFonts w:ascii="Times New Roman;serif" w:hAnsi="Times New Roman;serif"/>
          <w:b/>
          <w:i/>
          <w:color w:val="000000"/>
          <w:sz w:val="20"/>
        </w:rPr>
        <w:t>Stock Incentive Plans</w:t>
      </w:r>
      <w:r>
        <w:rPr>
          <w:color w:val="000000"/>
        </w:rPr>
        <w:t>—</w:t>
      </w:r>
      <w:r>
        <w:rPr>
          <w:rFonts w:ascii="Times New Roman;serif" w:hAnsi="Times New Roman;serif"/>
          <w:b w:val="false"/>
          <w:color w:val="000000"/>
          <w:sz w:val="20"/>
        </w:rPr>
        <w:t xml:space="preserve">Under the 2020 Stock Incentive Plan, the Company has up to 11.3 million securities remaining available for future issuance as of September 30, 2025. Stock options may be granted to employees and non-employee directors with an exercise price not less than the fair market value of the stock on the date of grant. Unexercised options expire seven years after date of grant.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stock units to employees under its Performance Earnings Program (PEP), whereby units are earned and issued dependent upon meeting established cumulative performance objectives and vest over a three-year service period. Additionally, the Company issues restricted stock units to employees and directors which are earned based on service conditions. The grant date fair value of PEP awards and restricted stock unit awards is primarily based on that day’s closing market price of the Company’s common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Restricted stock unit and PEP unit activity for the year ended September 30 was as follows:</w:t>
      </w:r>
    </w:p>
    <w:tbl>
      <w:tblPr>
        <w:tblW w:w="10205" w:type="dxa"/>
        <w:jc w:val="left"/>
        <w:tblInd w:w="0" w:type="dxa"/>
        <w:tblLayout w:type="fixed"/>
        <w:tblCellMar>
          <w:top w:w="28" w:type="dxa"/>
          <w:left w:w="28" w:type="dxa"/>
          <w:bottom w:w="28" w:type="dxa"/>
          <w:right w:w="28" w:type="dxa"/>
        </w:tblCellMar>
      </w:tblPr>
      <w:tblGrid>
        <w:gridCol w:w="867"/>
        <w:gridCol w:w="761"/>
        <w:gridCol w:w="765"/>
        <w:gridCol w:w="306"/>
        <w:gridCol w:w="306"/>
        <w:gridCol w:w="308"/>
        <w:gridCol w:w="109"/>
        <w:gridCol w:w="109"/>
        <w:gridCol w:w="109"/>
        <w:gridCol w:w="506"/>
        <w:gridCol w:w="1731"/>
        <w:gridCol w:w="261"/>
        <w:gridCol w:w="109"/>
        <w:gridCol w:w="109"/>
        <w:gridCol w:w="109"/>
        <w:gridCol w:w="306"/>
        <w:gridCol w:w="287"/>
        <w:gridCol w:w="270"/>
        <w:gridCol w:w="109"/>
        <w:gridCol w:w="109"/>
        <w:gridCol w:w="109"/>
        <w:gridCol w:w="494"/>
        <w:gridCol w:w="1689"/>
        <w:gridCol w:w="367"/>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2022</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PEP units earned (unearned)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2023</w:t>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PEP units earned (unearned)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PEP units earned (unearned)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20"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related to these share-based payments including stock options was $61.4 million, $61.5 million, and $45.9 million during the years ended September 30, 2025, 2024 and 2023, respectively. Unrecognized compensation expense related to total share-based payments outstanding as of September 30, 2025 and 2024 was $106.7 million and $68.7 million, respectively, to be recognized on a straight-line basis over the awards’ respective vesting periods which are generally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before income taxes included income from domestic operations of $392.7 million, $233.0 million, and loss of $129.2 million for fiscal years ended September 30, 2025, 2024 and 2023 and income from foreign operations of $522.9 million, $485.2 million, and $342.6 million for fiscal years ended September 30, 2025, 2024 and 2023.</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was comprised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7760" w:type="dxa"/>
        <w:jc w:val="center"/>
        <w:tblInd w:w="0" w:type="dxa"/>
        <w:tblLayout w:type="fixed"/>
        <w:tblCellMar>
          <w:top w:w="28" w:type="dxa"/>
          <w:left w:w="28" w:type="dxa"/>
          <w:bottom w:w="28" w:type="dxa"/>
          <w:right w:w="28" w:type="dxa"/>
        </w:tblCellMar>
      </w:tblPr>
      <w:tblGrid>
        <w:gridCol w:w="1315"/>
        <w:gridCol w:w="1160"/>
        <w:gridCol w:w="1169"/>
        <w:gridCol w:w="257"/>
        <w:gridCol w:w="750"/>
        <w:gridCol w:w="132"/>
        <w:gridCol w:w="109"/>
        <w:gridCol w:w="109"/>
        <w:gridCol w:w="109"/>
        <w:gridCol w:w="257"/>
        <w:gridCol w:w="750"/>
        <w:gridCol w:w="132"/>
        <w:gridCol w:w="109"/>
        <w:gridCol w:w="109"/>
        <w:gridCol w:w="109"/>
        <w:gridCol w:w="284"/>
        <w:gridCol w:w="691"/>
        <w:gridCol w:w="209"/>
      </w:tblGrid>
      <w:tr>
        <w:trPr/>
        <w:tc>
          <w:tcPr>
            <w:tcW w:w="1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income tax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 (benefit)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 elements contributing to the difference between the U.S. federal statutory rate of 21% for fiscal years ended September 30, 2025, 2024 and 2023 and the effective tax rate are as follows:</w:t>
      </w:r>
    </w:p>
    <w:tbl>
      <w:tblPr>
        <w:tblW w:w="10205" w:type="dxa"/>
        <w:jc w:val="left"/>
        <w:tblInd w:w="0" w:type="dxa"/>
        <w:tblLayout w:type="fixed"/>
        <w:tblCellMar>
          <w:top w:w="28" w:type="dxa"/>
          <w:left w:w="28" w:type="dxa"/>
          <w:bottom w:w="28" w:type="dxa"/>
          <w:right w:w="28" w:type="dxa"/>
        </w:tblCellMar>
      </w:tblPr>
      <w:tblGrid>
        <w:gridCol w:w="1221"/>
        <w:gridCol w:w="933"/>
        <w:gridCol w:w="936"/>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282"/>
        <w:gridCol w:w="285"/>
        <w:gridCol w:w="271"/>
        <w:gridCol w:w="109"/>
        <w:gridCol w:w="109"/>
        <w:gridCol w:w="157"/>
      </w:tblGrid>
      <w:tr>
        <w:trPr/>
        <w:tc>
          <w:tcPr>
            <w:tcW w:w="122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residual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rate changes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credits and incentives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entity restructuring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Exclusion of tax on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exempt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ACAP investment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t>During fiscal 2025, the Company recorded a reserve of $47.0 million related to uncertain tax positions associated with federal and state tax credits claimed for years subject to examination by the tax authorities.</w:t>
      </w:r>
      <w:r>
        <w:rPr>
          <w:color w:val="000000"/>
        </w:rPr>
        <w:t xml:space="preserve"> </w:t>
      </w:r>
      <w:r>
        <w:rPr>
          <w:rFonts w:ascii="Times New Roman;serif" w:hAnsi="Times New Roman;serif"/>
          <w:b w:val="false"/>
          <w:color w:val="000000"/>
          <w:sz w:val="20"/>
        </w:rPr>
        <w:t>The reserve reflects the Company’s assessment that it is more likely than not that a portion of the credits may not be sustained under examination based on recent discussions and developments related to our ongoing audits.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fiscal 2025, the Company recognized deferred tax assets of $20.1 million related to legal entity restructuring. The restructuring resulted in the recognition of deferred tax assets related to tax attributes that are expected to be utilized against future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recorded an increase in tax benefit of $38.4 million related to state income taxes due to apportionment factor changes for fiscal years 2016 through 2023. This benefit was partially offset by an increase in tax expense of $23.0 million related to uncertain tax positions.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sold certain ACAP investments and recorded a reduction in valuation allowances of $21.0 million and a reduction in deferred tax assets of $20.2 million. In addition, the Company recorded a valuation allowance of $9.3 million related to the remaining ACAP investments.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2024, the Company approved a tax planning strategy and restructured certain operations in Canada which resulted in a release of a valuation allowance related to net operating losses and other deferred tax assets of $11.7 million.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settled its tax audit in Hong Kong for fiscal year 2011 through fiscal year 2021 and recorded a tax benefit of $6.9 million due primarily to changes in uncertain tax positions.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2023, valuation allowances in the amount of $21.0 million related to the ACAP impairment charge were established for the portion of the charge that is not expected to be realized.</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currently under tax audit in several jurisdictions including the U.S. where its federal income tax returns for fiscal 2017 through 2020 are being examined by the IRS. Disputes can arise with tax authorities involving issues related to the timing of deductions, the calculation and use of credits, and the taxation of income in various tax jurisdictions because of differing interpretations or application of tax laws, regulations, and relevant facts. The IRS is currently auditing certain tax credits and the methodology for calculating the credits. We will continue to monitor developments related to the examination and will adjust the reserve as necessary based on changes in facts and circumstances, including the resolution of the audit.</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the Company would reverse its valuation allowance in a particular tax jurisdiction if the positive evidence examined, such as projected and sustainable earnings or a tax-planning strategy that allows for the usage of the deferred tax asset, is sufficient to overcome significant negative evidence, such as large net operating loss carryforwards or a cumulative history of losses in recent years. In the United States, the valued deferred tax assets have a restricted life or use under relevant tax law. In addition, the Company is continually investigating tax planning strategies that, if prudent and feasible, may be implemented to realize a deferred tax asset that would otherwise expire unutilized. The identification and internal/external approval (as relevant) of such a prudent and feasible tax planning strategy could cause a reduction in the valuation allowance.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deferred tax assets (liabilities)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7631" w:type="dxa"/>
        <w:jc w:val="center"/>
        <w:tblInd w:w="0" w:type="dxa"/>
        <w:tblLayout w:type="fixed"/>
        <w:tblCellMar>
          <w:top w:w="28" w:type="dxa"/>
          <w:left w:w="28" w:type="dxa"/>
          <w:bottom w:w="28" w:type="dxa"/>
          <w:right w:w="28" w:type="dxa"/>
        </w:tblCellMar>
      </w:tblPr>
      <w:tblGrid>
        <w:gridCol w:w="1806"/>
        <w:gridCol w:w="1584"/>
        <w:gridCol w:w="1590"/>
        <w:gridCol w:w="257"/>
        <w:gridCol w:w="750"/>
        <w:gridCol w:w="132"/>
        <w:gridCol w:w="109"/>
        <w:gridCol w:w="109"/>
        <w:gridCol w:w="109"/>
        <w:gridCol w:w="255"/>
        <w:gridCol w:w="744"/>
        <w:gridCol w:w="186"/>
      </w:tblGrid>
      <w:tr>
        <w:trPr/>
        <w:tc>
          <w:tcPr>
            <w:tcW w:w="180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 accruals not currently deductible</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experimentation and other 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has available unused federal, foreign and state net operating loss (NOL) carryforwards of $700.7 million and $744.6 million, respectively, which expire at various dates over the next several years and capital loss carryforwards of $51.7 million and $181.2 million, respectively, which expire over the next five years; some foreign NOL carryforwards never expire. In addition, as of September 30, 2025, the Company has unused state and foreign research and development credits of $30.5 million and $0.2 million, respectively, and other credits of $3.7 million which expire at various dates over the next several years.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2024, gross deferred tax assets were $609.4 million and $678.9 million, respectively. The Company has recorded a valuation allowance of $157.1 million and $160.9 million as of September 30, 2025 and 2024, respectively, primarily related to foreign and state net operating loss carryforwards, capital loss carryforwards, tax credits and other deferred tax assets. The Company has performed an assessment of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carry-back is permitted under tax law, and prudent and feasible tax planning strategies that would be implemented, if necessary, to protect against the loss of the deferred tax asset that would otherwise expire. Although realization is not assured, based on the Company’s assessment, the Company has concluded that it is more likely than not that the remaining gross deferred tax asset (exclusive of deferred tax liabilities) of $452.3 million will be realized and, as such, no additional valuation allowance has been provided. The net decrease in the valuation allowance of $3.8 million is primarily attributable to a decrease in valuation allowances of $5.6 million related to the capital losses, and an increase in valuation allowances on foreign net operating losses and currency translation adjustments of $1.9 million.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the Company does not provide for U.S. taxes or foreign withholding taxes on gross book-tax differences in its non-U.S. subsidiaries because such basis differences of approximately $1.1 billion are able to and intended to be reinvested indefinitely. If these basis differences were distributed, foreign tax credits could become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law to partially or fully reduce the resulting U.S. income tax liability. There may also be additional U.S. or foreign income tax liability upon repatriation, although the calculation of such additional taxes is not practicable.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had a liability for unrecognized tax benefits, including potential interest and penalties, net of related tax benefit, totaling $144.1 million and $97.9 million, respectively. The gross unrecognized tax benefits as of September 30, 2025 and 2024 were $129.6 million and $81.3 million, respectively, excluding interest, penalties, and related tax benefit. Of the $129.6 million, approximately $125.4 million would be included in the effective tax rate if recognized. A reconciliation of the beginning and ending amount of gross unrecognized tax benefits is as follows:</w:t>
      </w:r>
    </w:p>
    <w:tbl>
      <w:tblPr>
        <w:tblW w:w="6880" w:type="dxa"/>
        <w:jc w:val="center"/>
        <w:tblInd w:w="0" w:type="dxa"/>
        <w:tblLayout w:type="fixed"/>
        <w:tblCellMar>
          <w:top w:w="28" w:type="dxa"/>
          <w:left w:w="28" w:type="dxa"/>
          <w:bottom w:w="28" w:type="dxa"/>
          <w:right w:w="28" w:type="dxa"/>
        </w:tblCellMar>
      </w:tblPr>
      <w:tblGrid>
        <w:gridCol w:w="1532"/>
        <w:gridCol w:w="1347"/>
        <w:gridCol w:w="1351"/>
        <w:gridCol w:w="257"/>
        <w:gridCol w:w="750"/>
        <w:gridCol w:w="132"/>
        <w:gridCol w:w="109"/>
        <w:gridCol w:w="109"/>
        <w:gridCol w:w="109"/>
        <w:gridCol w:w="284"/>
        <w:gridCol w:w="691"/>
        <w:gridCol w:w="209"/>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in current period’s tax positions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in prior years’ tax positions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in prior years’ tax positions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settlement with tax authorities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lapse of statute of limitations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change due to foreign exchange fluctuations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and penalties related to uncertain tax positions within the income tax expense line in the accompanying consolidated statements of operations. As of September 30, 2025, the accrued interest and penalties were $23.8 million and $3.2 million, respectively, excluding any related income tax benefits. As of September 30, 2024, the accrued interest and penalties were $27.7 million and $3.5 million, respectively, excluding any related income tax benefits.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numerous tax jurisdictions, including the U.S., and numerous U.S. states and non-U.S. jurisdictions around the world. The statute of limitations varies by jurisdiction in which the Company operates. Because of the number of jurisdictions in which the Company files tax returns, in any given year the statute of limitations in certain jurisdictions may expire without examination within the 12-month period from the balance sheet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it is reasonably possible that the total amounts of unrecognized tax benefits could significantly increase or decrease within the next twelve months, an estimate of the range of possible change cannot be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Earnings Per Share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excludes dilution and is computed by dividing net income attributable to AECOM by the weighted average number of common shares outstanding for the period. Diluted EPS is computed by dividing net income attributable to AECOM by the weighted average number of common shares outstanding and potential common shares for the period. The Company includes as potential common shares the weighted average dilutive effects of equity awards using the treasury stock method. For the periods presented, equity awards excluded from the calculation of potential common shares were not significant.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denominators of basic and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7701" w:type="dxa"/>
        <w:jc w:val="center"/>
        <w:tblInd w:w="0" w:type="dxa"/>
        <w:tblLayout w:type="fixed"/>
        <w:tblCellMar>
          <w:top w:w="28" w:type="dxa"/>
          <w:left w:w="28" w:type="dxa"/>
          <w:bottom w:w="28" w:type="dxa"/>
          <w:right w:w="28" w:type="dxa"/>
        </w:tblCellMar>
      </w:tblPr>
      <w:tblGrid>
        <w:gridCol w:w="1300"/>
        <w:gridCol w:w="1139"/>
        <w:gridCol w:w="1146"/>
        <w:gridCol w:w="379"/>
        <w:gridCol w:w="379"/>
        <w:gridCol w:w="381"/>
        <w:gridCol w:w="109"/>
        <w:gridCol w:w="109"/>
        <w:gridCol w:w="109"/>
        <w:gridCol w:w="379"/>
        <w:gridCol w:w="379"/>
        <w:gridCol w:w="381"/>
        <w:gridCol w:w="109"/>
        <w:gridCol w:w="109"/>
        <w:gridCol w:w="109"/>
        <w:gridCol w:w="346"/>
        <w:gridCol w:w="346"/>
        <w:gridCol w:w="492"/>
      </w:tblGrid>
      <w:tr>
        <w:trPr/>
        <w:tc>
          <w:tcPr>
            <w:tcW w:w="13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Other Financial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5125" w:type="dxa"/>
        <w:jc w:val="center"/>
        <w:tblInd w:w="0" w:type="dxa"/>
        <w:tblLayout w:type="fixed"/>
        <w:tblCellMar>
          <w:top w:w="28" w:type="dxa"/>
          <w:left w:w="28" w:type="dxa"/>
          <w:bottom w:w="28" w:type="dxa"/>
          <w:right w:w="28" w:type="dxa"/>
        </w:tblCellMar>
      </w:tblPr>
      <w:tblGrid>
        <w:gridCol w:w="895"/>
        <w:gridCol w:w="786"/>
        <w:gridCol w:w="793"/>
        <w:gridCol w:w="221"/>
        <w:gridCol w:w="804"/>
        <w:gridCol w:w="114"/>
        <w:gridCol w:w="109"/>
        <w:gridCol w:w="109"/>
        <w:gridCol w:w="109"/>
        <w:gridCol w:w="221"/>
        <w:gridCol w:w="803"/>
        <w:gridCol w:w="161"/>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costs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Accrued contract costs above include balances related to professional liability accruals of $893.7 million and $831.8 million as of September 30, 2025 and 2024, respectively. The remaining accrued contract costs primarily relate to costs for services provided by subcontractors and other non-employees. Liabilities recorded related to accrued contract losses were not material as of September 30, 2025 and 2024. The Company did not have material revisions to estimates for contracts where revenue is recognized using the input method during the twelve months ended September 30, 2025 and 2024. For the year ended September 30, 2025, the Company incurred restructuring and acquisition expenses of $59.4 million, which included labor-related costs of $32.0 million and non-labor costs of $27.3 million, of which $15.0 million was accrued and unpaid at September 30, 2025. For the year ended September 30, 2024, the Company incurred restructuring expenses of $98.9 million, which included labor-related costs of $18.7 million and non-labor costs of $80.2 million, of which $11.9 million was accrued and unpaid at September 30, 2024.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2025, the Company’s Board of Directors declared a quarterly cash dividend of $0.26 per share, which was paid on October 17, 2025 to stockholders of record as of the close of business on October 1, 2025. As of September 30, 2025, accrued and unpaid dividends totaled $37.6 million and were classified within other accrued expenses on the consolidated balance sheet. On November 18, 2025, the Company's Board of Directors declared a quarterly cash dividend of $0.31 per share. The dividend is payable on January 23, 2026 to stockholders of record as of the close of business on January 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Reclassifications out of Accumulated Other Comprehensive Loss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accumulated balances and reporting period activities for the years ended September 30, 2025, 2024 and 2023 related to reclassifications out of accumulated other comprehensive loss are summarized as follows (in millions): </w:t>
      </w:r>
    </w:p>
    <w:tbl>
      <w:tblPr>
        <w:tblW w:w="10205" w:type="dxa"/>
        <w:jc w:val="left"/>
        <w:tblInd w:w="0" w:type="dxa"/>
        <w:tblLayout w:type="fixed"/>
        <w:tblCellMar>
          <w:top w:w="28" w:type="dxa"/>
          <w:left w:w="28" w:type="dxa"/>
          <w:bottom w:w="28" w:type="dxa"/>
          <w:right w:w="28" w:type="dxa"/>
        </w:tblCellMar>
      </w:tblPr>
      <w:tblGrid>
        <w:gridCol w:w="1145"/>
        <w:gridCol w:w="791"/>
        <w:gridCol w:w="793"/>
        <w:gridCol w:w="295"/>
        <w:gridCol w:w="964"/>
        <w:gridCol w:w="152"/>
        <w:gridCol w:w="109"/>
        <w:gridCol w:w="109"/>
        <w:gridCol w:w="109"/>
        <w:gridCol w:w="368"/>
        <w:gridCol w:w="1205"/>
        <w:gridCol w:w="190"/>
        <w:gridCol w:w="109"/>
        <w:gridCol w:w="109"/>
        <w:gridCol w:w="109"/>
        <w:gridCol w:w="364"/>
        <w:gridCol w:w="880"/>
        <w:gridCol w:w="189"/>
        <w:gridCol w:w="109"/>
        <w:gridCol w:w="109"/>
        <w:gridCol w:w="109"/>
        <w:gridCol w:w="398"/>
        <w:gridCol w:w="1191"/>
        <w:gridCol w:w="299"/>
      </w:tblGrid>
      <w:tr>
        <w:trPr/>
        <w:tc>
          <w:tcPr>
            <w:tcW w:w="114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Related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2022</w:t>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(799.3)</w:t>
            </w:r>
          </w:p>
        </w:tc>
        <w:tc>
          <w:tcPr>
            <w:tcW w:w="19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29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2023</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(739.7)</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45"/>
        <w:gridCol w:w="791"/>
        <w:gridCol w:w="793"/>
        <w:gridCol w:w="295"/>
        <w:gridCol w:w="964"/>
        <w:gridCol w:w="152"/>
        <w:gridCol w:w="109"/>
        <w:gridCol w:w="109"/>
        <w:gridCol w:w="109"/>
        <w:gridCol w:w="368"/>
        <w:gridCol w:w="1205"/>
        <w:gridCol w:w="190"/>
        <w:gridCol w:w="109"/>
        <w:gridCol w:w="109"/>
        <w:gridCol w:w="109"/>
        <w:gridCol w:w="364"/>
        <w:gridCol w:w="880"/>
        <w:gridCol w:w="189"/>
        <w:gridCol w:w="109"/>
        <w:gridCol w:w="109"/>
        <w:gridCol w:w="109"/>
        <w:gridCol w:w="398"/>
        <w:gridCol w:w="1191"/>
        <w:gridCol w:w="299"/>
      </w:tblGrid>
      <w:tr>
        <w:trPr/>
        <w:tc>
          <w:tcPr>
            <w:tcW w:w="114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Related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2023</w:t>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(739.7)</w:t>
            </w:r>
          </w:p>
        </w:tc>
        <w:tc>
          <w:tcPr>
            <w:tcW w:w="19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8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29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2024</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5"/>
        <w:gridCol w:w="791"/>
        <w:gridCol w:w="793"/>
        <w:gridCol w:w="295"/>
        <w:gridCol w:w="964"/>
        <w:gridCol w:w="152"/>
        <w:gridCol w:w="109"/>
        <w:gridCol w:w="109"/>
        <w:gridCol w:w="109"/>
        <w:gridCol w:w="368"/>
        <w:gridCol w:w="1205"/>
        <w:gridCol w:w="190"/>
        <w:gridCol w:w="109"/>
        <w:gridCol w:w="109"/>
        <w:gridCol w:w="109"/>
        <w:gridCol w:w="364"/>
        <w:gridCol w:w="880"/>
        <w:gridCol w:w="189"/>
        <w:gridCol w:w="109"/>
        <w:gridCol w:w="109"/>
        <w:gridCol w:w="109"/>
        <w:gridCol w:w="398"/>
        <w:gridCol w:w="1191"/>
        <w:gridCol w:w="299"/>
      </w:tblGrid>
      <w:tr>
        <w:trPr/>
        <w:tc>
          <w:tcPr>
            <w:tcW w:w="114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Related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2024</w:t>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9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c>
          <w:tcPr>
            <w:tcW w:w="29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2025</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(652.4)</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(893.0)</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amounts representing its probable estimated liabilities relating to claims, guarantees, litigation, audits and investigations. The Company relies in part on qualified actuaries to assist it in determining the level of reserves to establish for insurance-related claims that are known and have been asserted against it, and for insurance-related claims that are believed to have been incurred based on actuarial analysis, but have not yet been reported to the Company’s claims administrators as of the respective balance sheet dates. The Company includes any adjustments to such insurance reserves in its consolidated results of operations. The Company’s reasonably possible loss disclosures are presented on a gross basis prior to the consideration of insurance recoveries. The Company does not record gain contingencies until they are realized. In the ordinary course of business, the Company may not be aware that it or its affiliates are under investigation and may not be aware of whether or not a known investigation has been concluded.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enter into various arrangements providing financial or performance assurance to clients, lenders, or partners. Such arrangements include standby letters of credit, surety bonds, and corporate guarantees to support the creditworthiness or the project execution commitments of its affiliates, partnerships and joint ventures. The Company’s unsecured credit arrangements are used for standby letters of credit issued in connection with general and professional liability insurance programs and for contract performance guarantees. At September 30, 2025 and 2024, these outstanding standby letters of credit totaled $899.4 million and $934.5 million, respectively. As of September 30, 2025, the Company had $367.4 available under these unsecured credit facilities. Performance arrangements typically have various expiration dates ranging from the completion of the project contract and extending beyond contract completion in some circumstances such as for warranties. The Company may also guarantee that a project, when complete, will achieve specified performance standards. If the project subsequently fails to meet guaranteed performance standards, the Company may incur additional costs, pay liquidated damages or be held responsible for the costs incurred by the client to achieve the required performance standards. The potential payment amount of an outstanding performance arrangement is typically the remaining cost of work to be performed by or on behalf of third parties. Generally, under joint venture arrangements, if a partner is financially unable to complete its share of the contract, the other partner(s) may be required to complete those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was contingently liable in the amount of approximately $903.8 million in issued standby letters of credit and $5.6 billion in issued surety bonds primarily to support project execution.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various agreements providing financial or performance assurances to clients on behalf of certain unconsolidated partnerships, joint ventures and other jointly executed contracts. These agreements are entered into primarily to support the project execution commitments of these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investment adviser jointly manages and sponsors the AECOM-Canyon Equity Fund, L.P. (the “Fund”), in which the Company indirectly holds an equity interest and has an ongoing capital commitment to fund investments. At September 30, 2025, the Company has capital commitments of $5.1 million to the Fund over the next three years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investment activities of AECOM Capital, the Company provides guarantees of certain contractual obligations, including guarantees for completion of projects, limited debt repayment, environmental indemnity obligations and other lender required guarantees.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was informed of a potential liability as one of the indemnitors on a divested business’ surety bonds. The Company does not have sufficient information to determine the range of potential impacts; however, it is reasonably possible that the Company may incur additional costs related to these bonds.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resolution of contingencies related to the sale of the civil infrastructure construction business, the Company agreed to act as an additional guarantor on the counterparty’s existing debt, which was extended to March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19.         Reportable Segments and Geographic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under three reportable segments according to their geographic regions and business activities. In identifying its reportable segments, the Company considered the financial information provided to its chief operating decision maker (CODM), who is the chief executive officer. The financial data is organized by geographic region and global business lines. The CODM uses this information to allocate resources and assess the performance of the segments primarily based on revenue less pass</w:t>
        <w:noBreakHyphen/>
        <w:t>through revenue and attributable earnings before interest, tax, and amortization expense along with forecasts, market activity, and other non-financial information. Information provided to the CODM for purposes of making operating decisions and evaluating segment performance excludes asset-related information. After considering various factors, including the development and utilization of financial data to the CODM, the Company concluded that identifying its operating segments by geography was consistent with the objectives of ASC 280-10. Certain operating segments have been aggregated based on similar characteristics, including long-term financial performance, the nature of services provided, internal process for delivering those services, and types of customers, to arrive at the Company’s reportable segments. The Company’s Americas reportable segment provides planning, consulting, architectural and engineering design services, and construction management services to public and private clients in the United States, Canada, and Latin America and is comprised of the Design and Consulting Services Americas and Construction Management operating segments. The Company’s International reportable segment provides similar professional services to public and private clients in Europe and India, the Middle East and Africa, Asia, and Australia and New Zealand and is comprised of the operating segments in those geographic regions. The Company’s AECOM Capital (ACAP) operating segment is its own reportable segment and primarily invests in and develops real estate projects. Certain expenses that are determined to be related to the Company as a whole are not deemed to be part of an operating segment but are reported within Corporate.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summarized financial information concerning the Company’s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9761" w:type="dxa"/>
        <w:jc w:val="center"/>
        <w:tblInd w:w="0" w:type="dxa"/>
        <w:tblLayout w:type="fixed"/>
        <w:tblCellMar>
          <w:top w:w="28" w:type="dxa"/>
          <w:left w:w="28" w:type="dxa"/>
          <w:bottom w:w="28" w:type="dxa"/>
          <w:right w:w="28" w:type="dxa"/>
        </w:tblCellMar>
      </w:tblPr>
      <w:tblGrid>
        <w:gridCol w:w="1423"/>
        <w:gridCol w:w="1248"/>
        <w:gridCol w:w="1258"/>
        <w:gridCol w:w="109"/>
        <w:gridCol w:w="109"/>
        <w:gridCol w:w="109"/>
        <w:gridCol w:w="211"/>
        <w:gridCol w:w="871"/>
        <w:gridCol w:w="109"/>
        <w:gridCol w:w="109"/>
        <w:gridCol w:w="109"/>
        <w:gridCol w:w="109"/>
        <w:gridCol w:w="211"/>
        <w:gridCol w:w="766"/>
        <w:gridCol w:w="109"/>
        <w:gridCol w:w="109"/>
        <w:gridCol w:w="109"/>
        <w:gridCol w:w="109"/>
        <w:gridCol w:w="211"/>
        <w:gridCol w:w="691"/>
        <w:gridCol w:w="109"/>
        <w:gridCol w:w="109"/>
        <w:gridCol w:w="109"/>
        <w:gridCol w:w="109"/>
        <w:gridCol w:w="211"/>
        <w:gridCol w:w="87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AECOM</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 rent expenses, depreciation, nonoperating income, and a deduction for earnings attributable to noncontrolling interests as well as other costs. The table below reconciles total segment attributable earnings before taxes and amortization to income from continuing operations before taxes:</w:t>
      </w:r>
    </w:p>
    <w:tbl>
      <w:tblPr>
        <w:tblW w:w="10205" w:type="dxa"/>
        <w:jc w:val="center"/>
        <w:tblInd w:w="0" w:type="dxa"/>
        <w:tblLayout w:type="fixed"/>
        <w:tblCellMar>
          <w:top w:w="28" w:type="dxa"/>
          <w:left w:w="28" w:type="dxa"/>
          <w:bottom w:w="28" w:type="dxa"/>
          <w:right w:w="28" w:type="dxa"/>
        </w:tblCellMar>
      </w:tblPr>
      <w:tblGrid>
        <w:gridCol w:w="1821"/>
        <w:gridCol w:w="1555"/>
        <w:gridCol w:w="1560"/>
        <w:gridCol w:w="109"/>
        <w:gridCol w:w="109"/>
        <w:gridCol w:w="109"/>
        <w:gridCol w:w="277"/>
        <w:gridCol w:w="1006"/>
        <w:gridCol w:w="143"/>
        <w:gridCol w:w="109"/>
        <w:gridCol w:w="109"/>
        <w:gridCol w:w="109"/>
        <w:gridCol w:w="277"/>
        <w:gridCol w:w="1006"/>
        <w:gridCol w:w="143"/>
        <w:gridCol w:w="109"/>
        <w:gridCol w:w="109"/>
        <w:gridCol w:w="109"/>
        <w:gridCol w:w="308"/>
        <w:gridCol w:w="900"/>
        <w:gridCol w:w="228"/>
      </w:tblGrid>
      <w:tr>
        <w:trPr/>
        <w:tc>
          <w:tcPr>
            <w:tcW w:w="182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attributable earnings before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noncontrolling interests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45"/>
        <w:gridCol w:w="854"/>
        <w:gridCol w:w="860"/>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85"/>
        <w:gridCol w:w="1037"/>
        <w:gridCol w:w="147"/>
        <w:gridCol w:w="109"/>
        <w:gridCol w:w="109"/>
        <w:gridCol w:w="109"/>
        <w:gridCol w:w="211"/>
        <w:gridCol w:w="871"/>
        <w:gridCol w:w="157"/>
      </w:tblGrid>
      <w:tr>
        <w:trPr/>
        <w:tc>
          <w:tcPr>
            <w:tcW w:w="114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AECOM</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Assets </w:t>
              <w:br/>
              <w:t>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27"/>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tbl>
      <w:tblPr>
        <w:tblW w:w="7323" w:type="dxa"/>
        <w:jc w:val="center"/>
        <w:tblInd w:w="0" w:type="dxa"/>
        <w:tblLayout w:type="fixed"/>
        <w:tblCellMar>
          <w:top w:w="28" w:type="dxa"/>
          <w:left w:w="28" w:type="dxa"/>
          <w:bottom w:w="28" w:type="dxa"/>
          <w:right w:w="28" w:type="dxa"/>
        </w:tblCellMar>
      </w:tblPr>
      <w:tblGrid>
        <w:gridCol w:w="1043"/>
        <w:gridCol w:w="916"/>
        <w:gridCol w:w="920"/>
        <w:gridCol w:w="109"/>
        <w:gridCol w:w="109"/>
        <w:gridCol w:w="109"/>
        <w:gridCol w:w="221"/>
        <w:gridCol w:w="804"/>
        <w:gridCol w:w="114"/>
        <w:gridCol w:w="109"/>
        <w:gridCol w:w="109"/>
        <w:gridCol w:w="109"/>
        <w:gridCol w:w="221"/>
        <w:gridCol w:w="804"/>
        <w:gridCol w:w="114"/>
        <w:gridCol w:w="109"/>
        <w:gridCol w:w="109"/>
        <w:gridCol w:w="109"/>
        <w:gridCol w:w="221"/>
        <w:gridCol w:w="803"/>
        <w:gridCol w:w="16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2023</w:t>
            </w:r>
          </w:p>
        </w:tc>
      </w:tr>
      <w:tr>
        <w:trPr/>
        <w:tc>
          <w:tcPr>
            <w:tcW w:w="2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India,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Asia-Australia-Pacific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5,155.8 </w:t>
            </w:r>
          </w:p>
        </w:tc>
        <w:tc>
          <w:tcPr>
            <w:tcW w:w="1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4,558.9 </w:t>
            </w:r>
          </w:p>
        </w:tc>
        <w:tc>
          <w:tcPr>
            <w:tcW w:w="1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4,624.3 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Long-lived assets consist of noncurrent assets excluding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         Major Clients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single client accounted for 10% or more of the Company’s revenue in any of the past five fiscal years. Approximately 7%, 7%, and 5% of the Company’s revenue was derived through direct contracts with agencies of the U.S. federal government in the years ended September 30,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AECOM Technology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Schedule II: Valuation and Qualifying Accounts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millions)</w:t>
      </w:r>
    </w:p>
    <w:tbl>
      <w:tblPr>
        <w:tblW w:w="9742" w:type="dxa"/>
        <w:jc w:val="left"/>
        <w:tblInd w:w="0" w:type="dxa"/>
        <w:tblLayout w:type="fixed"/>
        <w:tblCellMar>
          <w:top w:w="28" w:type="dxa"/>
          <w:left w:w="28" w:type="dxa"/>
          <w:bottom w:w="28" w:type="dxa"/>
          <w:right w:w="28" w:type="dxa"/>
        </w:tblCellMar>
      </w:tblPr>
      <w:tblGrid>
        <w:gridCol w:w="1047"/>
        <w:gridCol w:w="921"/>
        <w:gridCol w:w="926"/>
        <w:gridCol w:w="211"/>
        <w:gridCol w:w="616"/>
        <w:gridCol w:w="109"/>
        <w:gridCol w:w="109"/>
        <w:gridCol w:w="109"/>
        <w:gridCol w:w="109"/>
        <w:gridCol w:w="331"/>
        <w:gridCol w:w="803"/>
        <w:gridCol w:w="171"/>
        <w:gridCol w:w="109"/>
        <w:gridCol w:w="109"/>
        <w:gridCol w:w="109"/>
        <w:gridCol w:w="252"/>
        <w:gridCol w:w="637"/>
        <w:gridCol w:w="131"/>
        <w:gridCol w:w="109"/>
        <w:gridCol w:w="109"/>
        <w:gridCol w:w="109"/>
        <w:gridCol w:w="377"/>
        <w:gridCol w:w="789"/>
        <w:gridCol w:w="198"/>
        <w:gridCol w:w="109"/>
        <w:gridCol w:w="109"/>
        <w:gridCol w:w="109"/>
        <w:gridCol w:w="220"/>
        <w:gridCol w:w="534"/>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br/>
              <w:t>Charged to Cost</w:t>
              <w:br/>
              <w:t>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Deductions</w:t>
            </w:r>
            <w:r>
              <w:rPr>
                <w:rFonts w:ascii="Times New Roman;serif" w:hAnsi="Times New Roman;serif"/>
                <w:b/>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and</w:t>
              <w:br/>
              <w:t>Foreign</w:t>
              <w:br/>
              <w:t>Exchange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w:t>
              <w:br/>
              <w:t>the End of</w:t>
              <w:br/>
              <w:t>the Year</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Allowance for Doubtful Accounts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lineRule="auto" w:line="288" w:before="0" w:after="240"/>
        <w:ind w:left="0" w:right="0" w:hanging="432"/>
        <w:jc w:val="left"/>
        <w:rPr/>
      </w:pPr>
      <w:r>
        <w:rPr>
          <w:rFonts w:ascii="Times New Roman;serif" w:hAnsi="Times New Roman;serif"/>
          <w:b w:val="false"/>
          <w:color w:val="000000"/>
          <w:sz w:val="13"/>
        </w:rPr>
        <w:t>(a)</w:t>
      </w:r>
      <w:r>
        <w:rPr>
          <w:rFonts w:ascii="Times New Roman;serif" w:hAnsi="Times New Roman;serif"/>
          <w:b w:val="false"/>
          <w:color w:val="000000"/>
          <w:sz w:val="20"/>
        </w:rPr>
        <w:t>Primarily relates to accounts written-off and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with the participation of our Chief Executive Officer (CEO) and Chief Financial Officer (CFO), our CEO and CFO have concluded that our disclosure controls and procedures as defined in Rules 13a-15(e) and 15(d)-15(e) under the Securities Exchange Act of 1934, as amended (Exchange Act), were effective as of September 30, 2025 to ensure that information required to be disclosed by us in this Annual Report on Form 10-K or submitted under the Exchange Act is (i) recorded, processed, summarized and reported within the time periods specified in the Securities and Exchange Commission rules and forms, and (ii) accumulated and communicated to our management, including our principal executive and principal financial officer, as appropriate, to allow timely decisions regarding required disclosures.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management, with the participation of our CEO and CFO, assessed the effectiveness of our internal control over financial reporting as of September 30, 2025, the end of our fiscal year. Our management based its assessment on criteria established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Our management’s assessment included evaluation and testing of the design and operating effectiveness of key financial reporting controls, process documentation, accounting policies, and our overall control environment.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our management’s assessment, our management has concluded that our internal control over financial reporting was effective as of September 30, 2025. Our management communicated the results of its assessment to the Audit Committee of our Board of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Ernst &amp; Young LLP, audited our financial statements for the fiscal year ended September 30, 2025 included in this Annual Report on Form 10-K, and has issued an audit report with respect to the effectiveness of the Company’s internal control over financial reporting, a copy of which is included earlier in this Annual Report on Form 10-K.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fiscal quarter ended September 30, 2025 identified in connection with the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quarterly period ended September 30, 2025, no director or officer of the Company adopted or terminated a Rule 10b5-1 trading arrangement or a non-Rule 10b5-1 trading arrangement as each term is defined in Item 408(a) of Regulation S-K, except as follows:</w:t>
      </w:r>
    </w:p>
    <w:tbl>
      <w:tblPr>
        <w:tblW w:w="10205" w:type="dxa"/>
        <w:jc w:val="left"/>
        <w:tblInd w:w="0" w:type="dxa"/>
        <w:tblLayout w:type="fixed"/>
        <w:tblCellMar>
          <w:top w:w="28" w:type="dxa"/>
          <w:left w:w="28" w:type="dxa"/>
          <w:bottom w:w="28" w:type="dxa"/>
          <w:right w:w="28" w:type="dxa"/>
        </w:tblCellMar>
      </w:tblPr>
      <w:tblGrid>
        <w:gridCol w:w="414"/>
        <w:gridCol w:w="242"/>
        <w:gridCol w:w="243"/>
        <w:gridCol w:w="109"/>
        <w:gridCol w:w="109"/>
        <w:gridCol w:w="109"/>
        <w:gridCol w:w="325"/>
        <w:gridCol w:w="325"/>
        <w:gridCol w:w="326"/>
        <w:gridCol w:w="109"/>
        <w:gridCol w:w="109"/>
        <w:gridCol w:w="109"/>
        <w:gridCol w:w="336"/>
        <w:gridCol w:w="336"/>
        <w:gridCol w:w="337"/>
        <w:gridCol w:w="109"/>
        <w:gridCol w:w="109"/>
        <w:gridCol w:w="109"/>
        <w:gridCol w:w="2131"/>
        <w:gridCol w:w="1923"/>
        <w:gridCol w:w="1908"/>
        <w:gridCol w:w="109"/>
        <w:gridCol w:w="109"/>
        <w:gridCol w:w="160"/>
      </w:tblGrid>
      <w:tr>
        <w:trPr/>
        <w:tc>
          <w:tcPr>
            <w:tcW w:w="4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Adoption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Scheduled Expiration</w:t>
              <w:br/>
              <w:t>Date of Rule 10b5-1</w:t>
              <w:br/>
              <w:t>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Number of</w:t>
              <w:br/>
              <w:t>Securities to Be</w:t>
              <w:br/>
              <w:t>Purchased or Sold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Lara Poloni,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 of (i) the number of shares of common stock resulting from the vesting of 10,040 restricted stock awards and accrued dividend equivalents and (ii) the number of shares of common stock resulting from the vesting of Performance Earning Program awards (15,060 shares of common stock at target performance) and accrued dividend equivalents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Gan,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02/09/2026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 of (i) 6,000 shares of common stock, (ii) the number of shares of common stock resulting from the vesting of 5,976 restricted stock awards and accrued dividend equivalents and (iii) the number of shares of common stock resulting from the vesting of Performance Earning Program awards (8,964 shares of common stock at target performance) and accrued dividend equivalents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Incorporated by reference from our definitive proxy statement for the 2026 Annual Meeting of Stockholders, to be filed within 120 days of our fiscal 2025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Incorporated by reference from our definitive proxy statement for the 2026 Annual Meeting of Stockholders, to be filed within 120 days of our fiscal 2025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STOCKHOLDERS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with respect to the information relating to our equity compensation plans, which is incorporated herein by reference to Part II, Item 5, “Equity Compensation Plans” of this Form 10-K, the information required by this item is incorporated by reference from our definitive proxy statement for the 2026 Annual Meeting of Stockholders, to be filed within 120 days of our fiscal 2025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Incorporated by reference from our definitive proxy statement for the 2026 Annual Meeting of Stockholders, to be filed within 120 days of our fiscal 2025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Incorporated by reference from our definitive proxy statement for the 2026 Annual Meeting of Stockholders, to be filed within 120 days of our fiscal 2025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4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(a)Documents filed as part of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Company’s Consolidated Financial Statements at September 30, 2025 and 2024 and for each of the three years in the period ended September 30, 2025 and the notes thereto, together with the report of the independent auditors on those Consolidated Financial Statements are hereby filed as part of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(2)Financial Statement Schedule II—Valuation and Qualifying Accounts for the Years Ended September 30, 2025, 2024 and 2023.</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(3)See Exhibits and Index to Exhibits, below.</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09"/>
        <w:gridCol w:w="1608"/>
        <w:gridCol w:w="1525"/>
        <w:gridCol w:w="109"/>
        <w:gridCol w:w="109"/>
        <w:gridCol w:w="109"/>
        <w:gridCol w:w="180"/>
        <w:gridCol w:w="180"/>
        <w:gridCol w:w="184"/>
        <w:gridCol w:w="109"/>
        <w:gridCol w:w="109"/>
        <w:gridCol w:w="109"/>
        <w:gridCol w:w="214"/>
        <w:gridCol w:w="214"/>
        <w:gridCol w:w="203"/>
        <w:gridCol w:w="125"/>
        <w:gridCol w:w="125"/>
        <w:gridCol w:w="125"/>
        <w:gridCol w:w="224"/>
        <w:gridCol w:w="202"/>
        <w:gridCol w:w="140"/>
        <w:gridCol w:w="109"/>
        <w:gridCol w:w="109"/>
        <w:gridCol w:w="109"/>
        <w:gridCol w:w="242"/>
        <w:gridCol w:w="242"/>
        <w:gridCol w:w="3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 (Exchange Act</w:t>
              <w:br/>
              <w:t>Filings Located at File</w:t>
              <w:br/>
              <w:t>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Amended and Restated Certificate of Incorporation of AECOM Technology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11/21/2011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Certificate of Amendment to Amended and Restated Certificate of Incorporation of AECOM Technology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Certificate of Correction of Amended and Restated Certificate of Incorporation of AECOM Technology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11/17/2014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Certificate of Amendment to the Company’s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Certificate of Amendment to the Company’s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of Amendment to the Company's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Third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1/29/2007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Indenture, dated as of July 22, 2025, by and among AECOM, the guarantors party thereto and U.S. Bank Trust Company, National Association, as trustee, including the form of Note as Exhibit 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Credit Agreement, dated as of October 17, 2014, among AECOM Technology Corporation and certain of its subsidiaries, as borrowers, certain lenders, Bank of America, N.A., as Administrative Agent, Swing Line Lender and L/C Issuer, MUFG Union Bank, N.A., BNP Paribas, JPMorgan Chase Bank, N.A., and the Bank of Nova Scotia, as Co-Syndication Agents, and BBVA Compass, Credit Agricole Corporate and Investment Bank, HSBC Bank USA, National Association, Sumitomo Mitsui Banking Corporation and Wells Fargo Bank, National Association, as Co-Documentation Agents.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72"/>
        <w:gridCol w:w="1772"/>
        <w:gridCol w:w="1636"/>
        <w:gridCol w:w="109"/>
        <w:gridCol w:w="109"/>
        <w:gridCol w:w="109"/>
        <w:gridCol w:w="170"/>
        <w:gridCol w:w="170"/>
        <w:gridCol w:w="171"/>
        <w:gridCol w:w="109"/>
        <w:gridCol w:w="109"/>
        <w:gridCol w:w="109"/>
        <w:gridCol w:w="214"/>
        <w:gridCol w:w="214"/>
        <w:gridCol w:w="205"/>
        <w:gridCol w:w="136"/>
        <w:gridCol w:w="136"/>
        <w:gridCol w:w="136"/>
        <w:gridCol w:w="240"/>
        <w:gridCol w:w="221"/>
        <w:gridCol w:w="168"/>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 (Exchange Act</w:t>
              <w:br/>
              <w:t>Filings Located at File</w:t>
              <w:br/>
              <w:t>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Amendment No. 1 to the Credit Agreement, dated as of July 1, 2015, by and among AECOM and certain of its subsidiaries, as borrowers, certain lenders, Bank of America, N.A., as Administrative Agent, Swing Line Lender and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Amendment No. 2 to Credit Agreement, dated as of December 22, 2015, among the Company,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12/22/2015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Amendment No. 3 to Credit Agreement and Amendment No. 1 to the Security Agreement, dated as of September 29, 2016, among the Company,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9/30/2016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Amendment No. 4 to Credit Agreement dated as of March 31, 2017, among the Company,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Amendment No. 5 to Credit Agreement dated as of March 13, 2018, among AECOM,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Amendment No. 6 to Credit Agreement, dated as of November 12, 2018, among AECOM,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Amendment No. 7 to Credit Agreement, dated as of January 28, 2020, by and among AECOM, each borrower and guarantor party thereto,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Amendment No. 8 to the Credit Agreement, dated as of May 1, 2020, by and among AECOM, each borrower and guarantor party thereto, the lenders party thereto, and Bank of America, N.A., as of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2021 Refinancing Amendment to Credit Agreement, dated as of February 8, 2021, by and among AECOM, each borrower and guarantor party thereto,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Amendment No. 10 to Credit Agreement, dated as of April 13, 2021, by and among AECOM, each borrower and guarantor party thereto,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Amendment No. 11 to Credit Agreement, dated as of June 25, 2021, by and among AECOM, each borrower and guarantor party thereto,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Amendment No. 12 to the Credit Agreement, dated as of May 23, 2023, by and among AECOM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27"/>
        <w:gridCol w:w="1627"/>
        <w:gridCol w:w="1486"/>
        <w:gridCol w:w="109"/>
        <w:gridCol w:w="109"/>
        <w:gridCol w:w="109"/>
        <w:gridCol w:w="306"/>
        <w:gridCol w:w="306"/>
        <w:gridCol w:w="310"/>
        <w:gridCol w:w="109"/>
        <w:gridCol w:w="109"/>
        <w:gridCol w:w="109"/>
        <w:gridCol w:w="229"/>
        <w:gridCol w:w="229"/>
        <w:gridCol w:w="218"/>
        <w:gridCol w:w="134"/>
        <w:gridCol w:w="134"/>
        <w:gridCol w:w="134"/>
        <w:gridCol w:w="237"/>
        <w:gridCol w:w="218"/>
        <w:gridCol w:w="163"/>
        <w:gridCol w:w="109"/>
        <w:gridCol w:w="109"/>
        <w:gridCol w:w="109"/>
        <w:gridCol w:w="242"/>
        <w:gridCol w:w="242"/>
        <w:gridCol w:w="3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 (Exchange Act</w:t>
              <w:br/>
              <w:t>Filings Located at File</w:t>
              <w:br/>
              <w:t>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Amendment No. 13 to Credit Agreement, dated as of May 23, 2023, by and among AECOM and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Amendment No. 14 to Credit Agreement, dated as of April 19, 2024, by and among AECOM, the other Borrowers and Guarantors party thereto, the Lenders party thereto and Bank of America, N.A., as Administrative Agent, Swing Line Lender and an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Amendment No. 15 to Credit Agreement, dated as of October 29, 2024, by and among AECOM, certain of its subsidiaries as Guarantors, the Lenders party thereto,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AECOM Technology Corporation Change in Control Severance Policy for Key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"https://www.sec.gov/Archives/edgar/data/868857/000104746911000254/a2201606zdef14a.htm" \l "hc74901_annex_b_aecom_technology_corpo__ann03112"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2006 Stock Incentive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Schedule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Annex B</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Form of Stock Option Standard Terms and Conditions under 2006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"https://www.sec.gov/Archives/edgar/data/868857/000104746917000275/a2230636zdef14a.htm" \l "hc41701_annex_b_aecom_amended___hc402083"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AECOM Amended &amp; Restated 2016 Stock Incentive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Schedule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Annex B</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Form Standard Terms and Conditions for Non-Qualified Stock Options under the 2016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5/11/2016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Amended and Restated AECOM Executive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"https://www.sec.gov/Archives/edgar/data/868857/000104746910000266/a2196114zdef14a.htm" \l "toc_ha16701_1"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AECOM Technology Corporation Executive Incentive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Schedule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Annex 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Form of Special LTI Award Stock Option Terms and Conditions under the 2006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AECOM Retirement &amp; Savings Plan (amended and restated effective July 1,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8/10/2016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"https://www.sec.gov/Archives/edgar/data/868857/000104746919000207/a2237463zdef14a.htm" \l "h23"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AECOM Amended and Restated Employee Stock Purchase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Annex 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"https://www.sec.gov/Archives/edgar/data/868857/000104746920000451/a2240500zdef14a.htm" \l "h22"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AECOM 2020 Stock Incentive Plan.</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Annex 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Letter Agreement between AECOM and W. Troy Rudd dated June 13,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Senior Leadership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Form Standard Terms and Conditions for Performance Earnings Program under the 2020 Stock Incentive Plan (Fiscal Year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Form Standard Terms and Conditions for Restricted Stock Units under the 2020 Stock Incentive Plan (Fiscal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20"/>
                  <w:u w:val="single"/>
                </w:rPr>
                <w:t xml:space="preserve">Form Standard Terms and Conditions for Performance Earnings Program under the 2020 Stock Incentive Plan (Fiscal </w:t>
              </w:r>
            </w:hyperlink>
          </w:p>
          <w:p>
            <w:pPr>
              <w:pStyle w:val="TableContents"/>
              <w:bidi w:val="0"/>
              <w:spacing w:lineRule="auto" w:line="288" w:before="0" w:after="0"/>
              <w:jc w:val="both"/>
              <w:rPr/>
            </w:pPr>
            <w:hyperlink r:id="rId44">
              <w:r>
                <w:rPr>
                  <w:rStyle w:val="InternetLink"/>
                  <w:rFonts w:ascii="Times New Roman;serif" w:hAnsi="Times New Roman;serif"/>
                  <w:b w:val="false"/>
                  <w:color w:val="0000FF"/>
                  <w:sz w:val="20"/>
                  <w:u w:val="single"/>
                </w:rPr>
                <w:t>Year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erif" w:hAnsi="Times New Roman;serif"/>
                  <w:b w:val="false"/>
                  <w:color w:val="0000FF"/>
                  <w:sz w:val="20"/>
                  <w:u w:val="single"/>
                </w:rPr>
                <w:t>Form Standard Terms and Conditions for Restricted Stock Units under the 2020 Stock Incentive Plan (Fiscal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e18c86d2ca441bfa9be40d39ca8c6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96"/>
        <w:gridCol w:w="1650"/>
        <w:gridCol w:w="1623"/>
        <w:gridCol w:w="109"/>
        <w:gridCol w:w="109"/>
        <w:gridCol w:w="109"/>
        <w:gridCol w:w="170"/>
        <w:gridCol w:w="170"/>
        <w:gridCol w:w="171"/>
        <w:gridCol w:w="109"/>
        <w:gridCol w:w="109"/>
        <w:gridCol w:w="109"/>
        <w:gridCol w:w="214"/>
        <w:gridCol w:w="214"/>
        <w:gridCol w:w="203"/>
        <w:gridCol w:w="126"/>
        <w:gridCol w:w="126"/>
        <w:gridCol w:w="126"/>
        <w:gridCol w:w="225"/>
        <w:gridCol w:w="203"/>
        <w:gridCol w:w="142"/>
        <w:gridCol w:w="109"/>
        <w:gridCol w:w="109"/>
        <w:gridCol w:w="109"/>
        <w:gridCol w:w="242"/>
        <w:gridCol w:w="242"/>
        <w:gridCol w:w="3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 (Exchange Act</w:t>
              <w:br/>
              <w:t>Filings Located at File</w:t>
              <w:br/>
              <w:t>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erif" w:hAnsi="Times New Roman;serif"/>
                  <w:b w:val="false"/>
                  <w:color w:val="0000FF"/>
                  <w:sz w:val="20"/>
                  <w:u w:val="single"/>
                </w:rPr>
                <w:t>Employment Agreement, dated March 1, 2023, by and between AECOM and Lara Poloni.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Form Standard Terms and Conditions for Performance Earnings Program under the 2020 Stock Incentive Plan (Fiscal Year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Form Standard Terms and Conditions for Restricted Stock Units under the 2020 Stock Incentive Plan (Fiscal Year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cm-20250930xexx211.htm">
              <w:r>
                <w:rPr>
                  <w:rStyle w:val="InternetLink"/>
                  <w:rFonts w:ascii="Times New Roman;serif" w:hAnsi="Times New Roman;serif"/>
                  <w:b w:val="false"/>
                  <w:color w:val="0000FF"/>
                  <w:sz w:val="20"/>
                  <w:u w:val="single"/>
                </w:rPr>
                <w:t>Subsidiaries of AECOM.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cm-20250930xexx231.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cm-20250930xexx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cm-20250930xexx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cm-20250930xexx32.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20"/>
                  <w:u w:val="single"/>
                </w:rPr>
                <w:t>AECOM Policy for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Annual Report on Form 10-K for the year ended September 30, 2025 were formatted in iXBRL (Inline eXtensible Business Reporting Language): (i) Consolidated Balance Sheets, (ii) Consolidated Statements of Operations, (iii) Consolidated Statements of Comprehensive Income (Loss), (iv) Consolidated Statements of Stockholders’ Equity, (v) Condensed Consolidated Statements of Cash Flows, and (vi) the Notes to Condensed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September 30, 2025,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*Document has been furnished and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20"/>
        <w:jc w:val="left"/>
        <w:rPr/>
      </w:pPr>
      <w:hyperlink w:anchor="iae18c86d2ca441bfa9be40d39ca8c6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3401"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731"/>
        <w:gridCol w:w="731"/>
        <w:gridCol w:w="1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in the capacities and on the date indicated.</w:t>
      </w:r>
    </w:p>
    <w:tbl>
      <w:tblPr>
        <w:tblW w:w="9997" w:type="dxa"/>
        <w:jc w:val="left"/>
        <w:tblInd w:w="0" w:type="dxa"/>
        <w:tblLayout w:type="fixed"/>
        <w:tblCellMar>
          <w:top w:w="28" w:type="dxa"/>
          <w:left w:w="28" w:type="dxa"/>
          <w:bottom w:w="28" w:type="dxa"/>
          <w:right w:w="28" w:type="dxa"/>
        </w:tblCellMar>
      </w:tblPr>
      <w:tblGrid>
        <w:gridCol w:w="1563"/>
        <w:gridCol w:w="1375"/>
        <w:gridCol w:w="1382"/>
        <w:gridCol w:w="109"/>
        <w:gridCol w:w="109"/>
        <w:gridCol w:w="109"/>
        <w:gridCol w:w="1085"/>
        <w:gridCol w:w="1085"/>
        <w:gridCol w:w="1099"/>
        <w:gridCol w:w="109"/>
        <w:gridCol w:w="109"/>
        <w:gridCol w:w="109"/>
        <w:gridCol w:w="512"/>
        <w:gridCol w:w="512"/>
        <w:gridCol w:w="730"/>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43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TROY RUDD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Chairman and Chief Executive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Troy Rudd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GAURAV KAPOOR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Gaurav Kapoor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BRADLEY W.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Bradley W.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DEREK J. KERR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Derek J. Kerr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KRISTY PIPES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Kristy Pipes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W. STOTLAR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W. Stotlar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R. TISHMAN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R. Tishman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SANDER VAN’T NOORDENDE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Sander van’t Noordende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GEN. JANET C. WOLFENBARGER, USAF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Gen. Janet C. Wolfenbarger, USAF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rFonts w:ascii="Arial;Sans Serif" w:hAnsi="Arial;Sans Serif"/>
          <w:shd w:fill="E4E4E4" w:val="clear"/>
        </w:rPr>
      </w:pPr>
      <w:r>
        <w:rPr>
          <w:rFonts w:ascii="Times New Roman;serif" w:hAnsi="Times New Roman;serif"/>
          <w:b/>
          <w:i w:val="false"/>
          <w:caps w:val="false"/>
          <w:smallCaps w:val="false"/>
          <w:sz w:val="17"/>
          <w:shd w:fill="E4E4E4" w:val="clear"/>
        </w:rPr>
        <w:t>EXHIBIT 21.1</w:t>
      </w:r>
      <w:r>
        <w:rPr>
          <w:rFonts w:ascii="Arial;Sans Serif" w:hAnsi="Arial;Sans Serif"/>
          <w:caps w:val="false"/>
          <w:smallCaps w:val="false"/>
          <w:shd w:fill="E4E4E4" w:val="clear"/>
        </w:rPr>
        <w:t xml:space="preserve"> </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Global, LLC, a Delaware Limited Liability Company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Global II LLC, a Delaware Limited Liability Company AECOM,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C&amp;E, Inc., a Delaware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CM Holdings, Inc.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Technical Services, Inc., a California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USA, Inc., a New York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Asia Company Limited*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Canada Ltd*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South Africa Group Holdings (Pty) Ltd*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Design Build Limited*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Global Ireland Services Limited*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Infrastructure &amp; Environment UK Limited*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Hunt Construction Group Inc., an Indiana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URS Holdings, Inc., a Delaware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URS Corporation, a Nevada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URS Group, Inc. a Delaware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URS Corporation—Ohio, an Ohio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URS Global Holdings Inc., a Nevada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AECOM Intercontinental Holdings UK Limited*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The Earth Technology Corporation (USA)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Tishman Construction Corporation, a Delaware Corporation </w:t>
      </w:r>
    </w:p>
    <w:p>
      <w:pPr>
        <w:pStyle w:val="TextBody"/>
        <w:bidi w:val="0"/>
        <w:spacing w:lineRule="atLeast" w:line="142" w:before="0" w:after="0"/>
        <w:jc w:val="left"/>
        <w:rPr>
          <w:rFonts w:ascii="Times New Roman;serif" w:hAnsi="Times New Roman;serif"/>
          <w:b w:val="false"/>
          <w:i w:val="false"/>
          <w:caps w:val="false"/>
          <w:smallCaps w:val="false"/>
          <w:sz w:val="17"/>
          <w:shd w:fill="E4E4E4" w:val="clear"/>
        </w:rPr>
      </w:pPr>
      <w:r>
        <w:rPr>
          <w:rFonts w:ascii="Times New Roman;serif" w:hAnsi="Times New Roman;serif"/>
          <w:b w:val="false"/>
          <w:i w:val="false"/>
          <w:caps w:val="false"/>
          <w:smallCaps w:val="false"/>
          <w:sz w:val="17"/>
          <w:shd w:fill="E4E4E4" w:val="clear"/>
        </w:rPr>
        <w:t xml:space="preserve">Tishman Construction Corporation of New York, a Delaware Corporation </w:t>
      </w:r>
    </w:p>
    <w:p>
      <w:pPr>
        <w:pStyle w:val="TextBody"/>
        <w:bidi w:val="0"/>
        <w:spacing w:lineRule="atLeast" w:line="142"/>
        <w:jc w:val="left"/>
        <w:rPr>
          <w:rFonts w:ascii="Arial;Sans Serif" w:hAnsi="Arial;Sans Serif"/>
          <w:shd w:fill="E4E4E4" w:val="clear"/>
        </w:rPr>
      </w:pPr>
      <w:r>
        <w:rPr>
          <w:rFonts w:ascii="Times New Roman;serif" w:hAnsi="Times New Roman;serif"/>
          <w:b w:val="false"/>
          <w:i w:val="false"/>
          <w:caps w:val="false"/>
          <w:smallCaps w:val="false"/>
          <w:sz w:val="17"/>
          <w:shd w:fill="E4E4E4" w:val="clear"/>
        </w:rPr>
        <w:t>*Foreign</w:t>
      </w:r>
      <w:r>
        <w:rPr>
          <w:rFonts w:ascii="Arial;Sans Serif" w:hAnsi="Arial;Sans Serif"/>
          <w:caps w:val="false"/>
          <w:smallCaps w:val="false"/>
          <w:shd w:fill="E4E4E4" w:val="clear"/>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76" w:before="0" w:after="0"/>
        <w:jc w:val="left"/>
        <w:rPr/>
      </w:pPr>
      <w:r>
        <w:rPr>
          <w:rFonts w:ascii="Times New Roman;serif" w:hAnsi="Times New Roman;serif"/>
          <w:b w:val="false"/>
          <w:color w:val="000000"/>
          <w:sz w:val="20"/>
        </w:rPr>
        <w:t>We consent to the incorporation by reference in the following Registration Statements (Form S-8 Nos. 333-167047, 333-142070,</w:t>
      </w:r>
      <w:r>
        <w:rPr>
          <w:color w:val="000000"/>
        </w:rPr>
        <w:t xml:space="preserve"> </w:t>
      </w:r>
      <w:r>
        <w:rPr>
          <w:rFonts w:ascii="Times New Roman;serif" w:hAnsi="Times New Roman;serif"/>
          <w:b w:val="false"/>
          <w:color w:val="000000"/>
          <w:sz w:val="20"/>
        </w:rPr>
        <w:t>333-237237, 333-199453, 333-208964, 333-209890, 333-216442, and 333-230214) pertaining to various stock incentive, purchase and retirement plans of AECOM of our reports dated November 18, 2025, with respect to the consolidated financial statements and schedule of AECOM and to the effectiveness of internal control over financial reporting of AECOM included in this Annual Report (Form 10-K) of AECOM for the year ended September 30, 2025.</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Dallas, Texas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November 18, 2025</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Troy Rudd, certify that: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AECOM;</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34"/>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15" w:type="dxa"/>
        <w:jc w:val="left"/>
        <w:tblInd w:w="0" w:type="dxa"/>
        <w:tblLayout w:type="fixed"/>
        <w:tblCellMar>
          <w:top w:w="28" w:type="dxa"/>
          <w:left w:w="28" w:type="dxa"/>
          <w:bottom w:w="28" w:type="dxa"/>
          <w:right w:w="28" w:type="dxa"/>
        </w:tblCellMar>
      </w:tblPr>
      <w:tblGrid>
        <w:gridCol w:w="835"/>
        <w:gridCol w:w="734"/>
        <w:gridCol w:w="741"/>
        <w:gridCol w:w="732"/>
        <w:gridCol w:w="732"/>
        <w:gridCol w:w="1041"/>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18, 2025</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Gaurav Kapoor, certify that: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AECOM;</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29" w:type="dxa"/>
        <w:jc w:val="left"/>
        <w:tblInd w:w="0" w:type="dxa"/>
        <w:tblLayout w:type="fixed"/>
        <w:tblCellMar>
          <w:top w:w="28" w:type="dxa"/>
          <w:left w:w="28" w:type="dxa"/>
          <w:bottom w:w="28" w:type="dxa"/>
          <w:right w:w="28" w:type="dxa"/>
        </w:tblCellMar>
      </w:tblPr>
      <w:tblGrid>
        <w:gridCol w:w="835"/>
        <w:gridCol w:w="734"/>
        <w:gridCol w:w="741"/>
        <w:gridCol w:w="735"/>
        <w:gridCol w:w="735"/>
        <w:gridCol w:w="1049"/>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18, 2025</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AECOM (the “Company”) on Form 10-K for the fiscal year ended September 30, 2025 as filed with the Securities and Exchange Commission on the date hereof (the “Report”), we, W. Troy Rudd, Chief Executive Officer of the Company, and Gaurav Kapoor, Chief Financial Officer of the Company, hereby certify, pursuant to 18 U.S.C. Section 1350, as adopted pursuant to Section 906 of the Sarbanes-Oxley Act of 2002, that, to our knowledge:</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737"/>
        <w:gridCol w:w="649"/>
        <w:gridCol w:w="654"/>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 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868857/000104746911009697/a2206428zex-3_1.htm" TargetMode="External"/><Relationship Id="rId8" Type="http://schemas.openxmlformats.org/officeDocument/2006/relationships/hyperlink" Target="https://www.sec.gov/Archives/edgar/data/868857/000104746914006607/a2220862zex-3_2.htm" TargetMode="External"/><Relationship Id="rId9" Type="http://schemas.openxmlformats.org/officeDocument/2006/relationships/hyperlink" Target="https://www.sec.gov/Archives/edgar/data/868857/000104746914009283/a2222183zex-3_3.htm" TargetMode="External"/><Relationship Id="rId10" Type="http://schemas.openxmlformats.org/officeDocument/2006/relationships/hyperlink" Target="https://www.sec.gov/Archives/edgar/data/868857/000110465915001564/a15-1356_1ex3d1.htm" TargetMode="External"/><Relationship Id="rId11" Type="http://schemas.openxmlformats.org/officeDocument/2006/relationships/hyperlink" Target="https://www.sec.gov/Archives/edgar/data/868857/000110465917014082/a17-7561_2ex3d1.htm" TargetMode="External"/><Relationship Id="rId12" Type="http://schemas.openxmlformats.org/officeDocument/2006/relationships/hyperlink" Target="https://www.sec.gov/Archives/edgar/data/868857/000162828025022703/ex36_aecom-certificateofam.htm" TargetMode="External"/><Relationship Id="rId13" Type="http://schemas.openxmlformats.org/officeDocument/2006/relationships/hyperlink" Target="https://www.sec.gov/Archives/edgar/data/868857/000110465923062670/tm2316115d1_3-1.htm" TargetMode="External"/><Relationship Id="rId14" Type="http://schemas.openxmlformats.org/officeDocument/2006/relationships/hyperlink" Target="https://www.sec.gov/Archives/edgar/data/868857/000110465907005074/a07-2309_1ex4d1.htm" TargetMode="External"/><Relationship Id="rId15" Type="http://schemas.openxmlformats.org/officeDocument/2006/relationships/hyperlink" Target="https://www.sec.gov/Archives/edgar/data/868857/000110465920126988/acm-20200930xex4d2.htm" TargetMode="External"/><Relationship Id="rId16" Type="http://schemas.openxmlformats.org/officeDocument/2006/relationships/hyperlink" Target="https://www.sec.gov/Archives/edgar/data/868857/000110465925069601/tm2520562d2_ex4-1.htm" TargetMode="External"/><Relationship Id="rId17" Type="http://schemas.openxmlformats.org/officeDocument/2006/relationships/hyperlink" Target="https://www.sec.gov/Archives/edgar/data/868857/000110465914072277/a14-22456_1ex10d1.htm" TargetMode="External"/><Relationship Id="rId18" Type="http://schemas.openxmlformats.org/officeDocument/2006/relationships/hyperlink" Target="https://www.sec.gov/Archives/edgar/data/868857/000110465915050126/a15-15189_1ex10d1.htm" TargetMode="External"/><Relationship Id="rId19" Type="http://schemas.openxmlformats.org/officeDocument/2006/relationships/hyperlink" Target="https://www.sec.gov/Archives/edgar/data/868857/000110465915086292/a15-25292_1ex10d1.htm" TargetMode="External"/><Relationship Id="rId20" Type="http://schemas.openxmlformats.org/officeDocument/2006/relationships/hyperlink" Target="https://www.sec.gov/Archives/edgar/data/868857/000110465916147643/a16-19234_1ex10d1.htm" TargetMode="External"/><Relationship Id="rId21" Type="http://schemas.openxmlformats.org/officeDocument/2006/relationships/hyperlink" Target="https://www.sec.gov/Archives/edgar/data/868857/000110465917021976/a17-10916_1ex10d1.htm" TargetMode="External"/><Relationship Id="rId22" Type="http://schemas.openxmlformats.org/officeDocument/2006/relationships/hyperlink" Target="https://www.sec.gov/Archives/edgar/data/868857/000110465918017484/a18-8251_1ex10d1.htm" TargetMode="External"/><Relationship Id="rId23" Type="http://schemas.openxmlformats.org/officeDocument/2006/relationships/hyperlink" Target="https://www.sec.gov/Archives/edgar/data/868857/000104746918007225/a2237110zex-4_21.htm" TargetMode="External"/><Relationship Id="rId24" Type="http://schemas.openxmlformats.org/officeDocument/2006/relationships/hyperlink" Target="https://www.sec.gov/Archives/edgar/data/868857/000110465920009570/tm206180d1_ex10-1.htm" TargetMode="External"/><Relationship Id="rId25" Type="http://schemas.openxmlformats.org/officeDocument/2006/relationships/hyperlink" Target="https://www.sec.gov/Archives/edgar/data/868857/000110465920057467/acm-20200331xex10d3.htm" TargetMode="External"/><Relationship Id="rId26" Type="http://schemas.openxmlformats.org/officeDocument/2006/relationships/hyperlink" Target="https://www.sec.gov/Archives/edgar/data/868857/000110465921019804/acm-20201231xex10d2.htm" TargetMode="External"/><Relationship Id="rId27" Type="http://schemas.openxmlformats.org/officeDocument/2006/relationships/hyperlink" Target="https://www.sec.gov/Archives/edgar/data/868857/000110465921049757/tm2112594d2_ex10-1.htm" TargetMode="External"/><Relationship Id="rId28" Type="http://schemas.openxmlformats.org/officeDocument/2006/relationships/hyperlink" Target="https://www.sec.gov/Archives/edgar/data/868857/000110465921085716/tm2120677d1_ex10-1.htm" TargetMode="External"/><Relationship Id="rId29" Type="http://schemas.openxmlformats.org/officeDocument/2006/relationships/hyperlink" Target="https://www.sec.gov/Archives/edgar/data/868857/000110465923089320/acm-20230630xex10d1.htm" TargetMode="External"/><Relationship Id="rId30" Type="http://schemas.openxmlformats.org/officeDocument/2006/relationships/hyperlink" Target="https://www.sec.gov/Archives/edgar/data/868857/000110465923089320/acm-20230630xex10d2.htm" TargetMode="External"/><Relationship Id="rId31" Type="http://schemas.openxmlformats.org/officeDocument/2006/relationships/hyperlink" Target="https://www.sec.gov/Archives/edgar/data/868857/000110465924051959/tm2412424d1_ex10-1.htm" TargetMode="External"/><Relationship Id="rId32" Type="http://schemas.openxmlformats.org/officeDocument/2006/relationships/hyperlink" Target="https://www.sec.gov/Archives/edgar/data/868857/000141057824002030/acm-20240930xex4d21.htm" TargetMode="External"/><Relationship Id="rId33" Type="http://schemas.openxmlformats.org/officeDocument/2006/relationships/hyperlink" Target="https://www.sec.gov/Archives/edgar/data/868857/000110465918007234/a17-27635_1ex10d1.htm" TargetMode="External"/><Relationship Id="rId34" Type="http://schemas.openxmlformats.org/officeDocument/2006/relationships/hyperlink" Target="https://www.sec.gov/Archives/edgar/data/868857/000110465908075040/a08-29889_1ex10d1.htm" TargetMode="External"/><Relationship Id="rId35" Type="http://schemas.openxmlformats.org/officeDocument/2006/relationships/hyperlink" Target="https://www.sec.gov/Archives/edgar/data/868857/000110465916120098/a16-7846_1ex10d6.htm" TargetMode="External"/><Relationship Id="rId36" Type="http://schemas.openxmlformats.org/officeDocument/2006/relationships/hyperlink" Target="https://www.sec.gov/Archives/edgar/data/868857/000162828025003563/ex103edcpplandocument-amen.htm" TargetMode="External"/><Relationship Id="rId37" Type="http://schemas.openxmlformats.org/officeDocument/2006/relationships/hyperlink" Target="https://www.sec.gov/Archives/edgar/data/868857/000110465914018774/a14-7869_1ex10d2.htm" TargetMode="External"/><Relationship Id="rId38" Type="http://schemas.openxmlformats.org/officeDocument/2006/relationships/hyperlink" Target="https://www.sec.gov/Archives/edgar/data/868857/000110465916138644/a16-11488_1ex10d1.htm" TargetMode="External"/><Relationship Id="rId39" Type="http://schemas.openxmlformats.org/officeDocument/2006/relationships/hyperlink" Target="https://www.sec.gov/Archives/edgar/data/868857/000110465920090849/acm-20200630xex10d1.htm" TargetMode="External"/><Relationship Id="rId40" Type="http://schemas.openxmlformats.org/officeDocument/2006/relationships/hyperlink" Target="https://www.sec.gov/Archives/edgar/data/868857/000110465920090849/acm-20200630xex10d3.htm" TargetMode="External"/><Relationship Id="rId41" Type="http://schemas.openxmlformats.org/officeDocument/2006/relationships/hyperlink" Target="https://www.sec.gov/Archives/edgar/data/868857/000110465923011748/acm-20221231xex10d1.htm" TargetMode="External"/><Relationship Id="rId42" Type="http://schemas.openxmlformats.org/officeDocument/2006/relationships/hyperlink" Target="https://www.sec.gov/Archives/edgar/data/868857/000110465923011748/acm-20221231xex10d2.htm" TargetMode="External"/><Relationship Id="rId43" Type="http://schemas.openxmlformats.org/officeDocument/2006/relationships/hyperlink" Target="https://www.sec.gov/Archives/edgar/data/868857/000110465924011234/acm-20231231xex10d1.htm" TargetMode="External"/><Relationship Id="rId44" Type="http://schemas.openxmlformats.org/officeDocument/2006/relationships/hyperlink" Target="https://www.sec.gov/Archives/edgar/data/868857/000110465924011234/acm-20231231xex10d1.htm" TargetMode="External"/><Relationship Id="rId45" Type="http://schemas.openxmlformats.org/officeDocument/2006/relationships/hyperlink" Target="https://www.sec.gov/Archives/edgar/data/868857/000110465924011234/acm-20231231xex10d2.htm" TargetMode="External"/><Relationship Id="rId46" Type="http://schemas.openxmlformats.org/officeDocument/2006/relationships/hyperlink" Target="https://www.sec.gov/Archives/edgar/data/868857/000110465923057746/acm-20230331xex10d1.htm" TargetMode="External"/><Relationship Id="rId47" Type="http://schemas.openxmlformats.org/officeDocument/2006/relationships/hyperlink" Target="https://www.sec.gov/Archives/edgar/data/868857/000162828025003563/ex101pep25grantawardagreem.htm" TargetMode="External"/><Relationship Id="rId48" Type="http://schemas.openxmlformats.org/officeDocument/2006/relationships/hyperlink" Target="https://www.sec.gov/Archives/edgar/data/868857/000162828025003563/ex102rsu25grantawardagreem.htm" TargetMode="External"/><Relationship Id="rId49" Type="http://schemas.openxmlformats.org/officeDocument/2006/relationships/hyperlink" Target="https://www.sec.gov/Archives/edgar/data/868857/000141057824002030/acm-20240930xex19d1.htm" TargetMode="External"/><Relationship Id="rId50" Type="http://schemas.openxmlformats.org/officeDocument/2006/relationships/hyperlink" Target="https://www.sec.gov/Archives/edgar/data/868857/000141057824002030/acm-20240930xex97d1.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54631</Words>
  <Characters>308586</Characters>
  <CharactersWithSpaces>359719</CharactersWithSpaces>
  <Paragraphs>5585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