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November 29, 2019 (November 27, 2019)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AECOM</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679" w:right="2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0-52423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61-1088522</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640" w:space="720"/>
            <w:col w:w="2840" w:space="720"/>
            <w:col w:w="2480"/>
          </w:cols>
          <w:pgMar w:left="240" w:top="679" w:right="2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1999 Avenue of the Stars, Suite 2600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ectPr>
          <w:pgSz w:w="11900" w:h="16838" w:orient="portrait"/>
          <w:cols w:equalWidth="0" w:num="1">
            <w:col w:w="11400"/>
          </w:cols>
          <w:pgMar w:left="240" w:top="679" w:right="259" w:bottom="1440" w:gutter="0" w:footer="0" w:header="0"/>
          <w:type w:val="continuous"/>
        </w:sectPr>
      </w:pPr>
    </w:p>
    <w:p>
      <w:pPr>
        <w:spacing w:after="0" w:line="234"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(213) 593-8000</w:t>
      </w:r>
    </w:p>
    <w:p>
      <w:pPr>
        <w:spacing w:after="0" w:line="204" w:lineRule="exact"/>
        <w:rPr>
          <w:sz w:val="24"/>
          <w:szCs w:val="24"/>
          <w:color w:val="auto"/>
        </w:rPr>
      </w:pPr>
    </w:p>
    <w:p>
      <w:pPr>
        <w:sectPr>
          <w:pgSz w:w="11900" w:h="16838" w:orient="portrait"/>
          <w:cols w:equalWidth="0" w:num="2">
            <w:col w:w="6960" w:space="80"/>
            <w:col w:w="4360"/>
          </w:cols>
          <w:pgMar w:left="240" w:top="679" w:right="25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25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14d-(b) under the Exchange Act (17 CFR 240.14d-2(b))</w:t>
      </w:r>
    </w:p>
    <w:p>
      <w:pPr>
        <w:spacing w:after="0" w:line="225" w:lineRule="exact"/>
        <w:rPr>
          <w:rFonts w:ascii="MS PGothic" w:cs="MS PGothic" w:eastAsia="MS PGothic" w:hAnsi="MS PGothic"/>
          <w:sz w:val="18"/>
          <w:szCs w:val="18"/>
          <w:color w:val="auto"/>
        </w:rPr>
      </w:pPr>
    </w:p>
    <w:p>
      <w:pPr>
        <w:ind w:right="2840" w:firstLine="267"/>
        <w:spacing w:after="0" w:line="498" w:lineRule="auto"/>
        <w:tabs>
          <w:tab w:leader="none" w:pos="51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400"/>
          </w:cols>
          <w:pgMar w:left="240" w:top="679" w:right="259" w:bottom="1440" w:gutter="0" w:footer="0" w:header="0"/>
          <w:type w:val="continuous"/>
        </w:sectPr>
      </w:pPr>
    </w:p>
    <w:p>
      <w:pPr>
        <w:spacing w:after="0" w:line="21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ACM</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registered</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400" w:space="720"/>
            <w:col w:w="2460" w:space="720"/>
            <w:col w:w="3100"/>
          </w:cols>
          <w:pgMar w:left="240" w:top="679" w:right="2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27, 2019, AECOM (the “Company”) and Carla J. Christofferson mutually agreed that Ms. Christofferson will resign from her position as Executive Vice President and Chief Legal Officer of the Company effective immediately. In connection therewith, the Company and Ms. Christofferson entered into a separation and release agreement (the “Separation Agreement”) that provides that Ms. Christofferson will continue as a non-executive employee of the Company through December 16, 2019, during which period she will receive her annual base salary, benefits and the 2019 annual cash incentive award as determined by the Compensation Committee of the Board of Directors of the Company under the applicable Company plan, and the equity awards granted to her in December of 2016 will vest in the ordinary course on December 15, 2019. Pursuant to the terms of the Separation Agreement, Ms. Christofferson will also receive (i) a cash severance payment equal to her annual base salary, (ii) a monthly COBRA premium payment for up to twelve months following her separation date and (iii) 41,342 shares of the Company’s common stock in respect of certain unvested Company equity awards. The Separation Agreement also includes a general release of claims in favor of the Company, a confidentiality provision and a mutual non-disparagement covenant.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260" w:type="dxa"/>
            <w:vAlign w:val="bottom"/>
          </w:tcPr>
          <w:p>
            <w:pPr>
              <w:spacing w:after="0"/>
              <w:rPr>
                <w:sz w:val="20"/>
                <w:szCs w:val="20"/>
                <w:color w:val="auto"/>
              </w:rPr>
            </w:pPr>
          </w:p>
        </w:tc>
      </w:tr>
      <w:tr>
        <w:trPr>
          <w:trHeight w:val="41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418"/>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AECOM</w:t>
            </w: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Dated: November 29, 2019</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David Y. Gan</w:t>
            </w:r>
          </w:p>
        </w:tc>
      </w:tr>
      <w:tr>
        <w:trPr>
          <w:trHeight w:val="195"/>
        </w:trPr>
        <w:tc>
          <w:tcPr>
            <w:tcW w:w="3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Y. Gan</w:t>
            </w:r>
          </w:p>
        </w:tc>
      </w:tr>
      <w:tr>
        <w:trPr>
          <w:trHeight w:val="230"/>
        </w:trPr>
        <w:tc>
          <w:tcPr>
            <w:tcW w:w="3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Deputy General Counsel</w:t>
            </w:r>
          </w:p>
        </w:tc>
      </w:tr>
      <w:tr>
        <w:trPr>
          <w:trHeight w:val="459"/>
        </w:trPr>
        <w:tc>
          <w:tcPr>
            <w:tcW w:w="38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2019-11-29T16:19:05Z</dcterms:created>
  <dcterms:modified xsi:type="dcterms:W3CDTF">2019-11-29T16:19:05Z</dcterms:modified>
</cp:coreProperties>
</file>