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color w:val="auto"/>
        </w:rPr>
        <w:t>Use these links to rapidly review the document</w:t>
      </w:r>
    </w:p>
    <w:p>
      <w:pPr>
        <w:spacing w:after="0" w:line="8" w:lineRule="exact"/>
        <w:rPr>
          <w:sz w:val="24"/>
          <w:szCs w:val="24"/>
          <w:color w:val="auto"/>
        </w:rPr>
      </w:pPr>
    </w:p>
    <w:p>
      <w:pPr>
        <w:spacing w:after="0"/>
        <w:rPr>
          <w:rFonts w:ascii="Times New Roman" w:cs="Times New Roman" w:eastAsia="Times New Roman" w:hAnsi="Times New Roman"/>
          <w:sz w:val="15"/>
          <w:szCs w:val="15"/>
          <w:u w:val="single" w:color="auto"/>
          <w:color w:val="0000EE"/>
        </w:rPr>
      </w:pPr>
      <w:hyperlink w:anchor="page24">
        <w:r>
          <w:rPr>
            <w:rFonts w:ascii="Times New Roman" w:cs="Times New Roman" w:eastAsia="Times New Roman" w:hAnsi="Times New Roman"/>
            <w:sz w:val="15"/>
            <w:szCs w:val="15"/>
            <w:u w:val="single" w:color="auto"/>
            <w:color w:val="0000EE"/>
          </w:rPr>
          <w:t>Table of Contents</w:t>
        </w:r>
      </w:hyperlink>
    </w:p>
    <w:p>
      <w:pPr>
        <w:spacing w:after="0" w:line="128" w:lineRule="exact"/>
        <w:rPr>
          <w:sz w:val="24"/>
          <w:szCs w:val="24"/>
          <w:color w:val="auto"/>
        </w:rPr>
      </w:pPr>
    </w:p>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3" w:lineRule="exact"/>
        <w:rPr>
          <w:sz w:val="24"/>
          <w:szCs w:val="24"/>
          <w:color w:val="auto"/>
        </w:rPr>
      </w:pPr>
    </w:p>
    <w:p>
      <w:pPr>
        <w:jc w:val="center"/>
        <w:ind w:right="-1119"/>
        <w:spacing w:after="0"/>
        <w:rPr>
          <w:sz w:val="20"/>
          <w:szCs w:val="20"/>
          <w:color w:val="auto"/>
        </w:rPr>
      </w:pPr>
      <w:r>
        <w:rPr>
          <w:rFonts w:ascii="Arial" w:cs="Arial" w:eastAsia="Arial" w:hAnsi="Arial"/>
          <w:sz w:val="12"/>
          <w:szCs w:val="12"/>
          <w:b w:val="1"/>
          <w:bCs w:val="1"/>
          <w:color w:val="auto"/>
        </w:rPr>
        <w:t>UNITED STATES</w:t>
      </w:r>
    </w:p>
    <w:p>
      <w:pPr>
        <w:spacing w:after="0" w:line="15" w:lineRule="exact"/>
        <w:rPr>
          <w:sz w:val="24"/>
          <w:szCs w:val="24"/>
          <w:color w:val="auto"/>
        </w:rPr>
      </w:pPr>
    </w:p>
    <w:p>
      <w:pPr>
        <w:jc w:val="center"/>
        <w:ind w:right="-1119"/>
        <w:spacing w:after="0"/>
        <w:rPr>
          <w:sz w:val="20"/>
          <w:szCs w:val="20"/>
          <w:color w:val="auto"/>
        </w:rPr>
      </w:pPr>
      <w:r>
        <w:rPr>
          <w:rFonts w:ascii="Arial" w:cs="Arial" w:eastAsia="Arial" w:hAnsi="Arial"/>
          <w:sz w:val="11"/>
          <w:szCs w:val="11"/>
          <w:b w:val="1"/>
          <w:bCs w:val="1"/>
          <w:color w:val="auto"/>
        </w:rPr>
        <w:t>SECURITIES AND EXCHANGE COMMISSION</w:t>
      </w:r>
    </w:p>
    <w:p>
      <w:pPr>
        <w:spacing w:after="0" w:line="10" w:lineRule="exact"/>
        <w:rPr>
          <w:sz w:val="24"/>
          <w:szCs w:val="24"/>
          <w:color w:val="auto"/>
        </w:rPr>
      </w:pPr>
    </w:p>
    <w:p>
      <w:pPr>
        <w:jc w:val="center"/>
        <w:ind w:right="-1119"/>
        <w:spacing w:after="0"/>
        <w:rPr>
          <w:sz w:val="20"/>
          <w:szCs w:val="20"/>
          <w:color w:val="auto"/>
        </w:rPr>
      </w:pPr>
      <w:r>
        <w:rPr>
          <w:rFonts w:ascii="Arial" w:cs="Arial" w:eastAsia="Arial" w:hAnsi="Arial"/>
          <w:sz w:val="12"/>
          <w:szCs w:val="12"/>
          <w:b w:val="1"/>
          <w:bCs w:val="1"/>
          <w:color w:val="auto"/>
        </w:rPr>
        <w:t>Washington, D.C. 20549</w:t>
      </w:r>
    </w:p>
    <w:p>
      <w:pPr>
        <w:spacing w:after="0" w:line="118" w:lineRule="exact"/>
        <w:rPr>
          <w:sz w:val="24"/>
          <w:szCs w:val="24"/>
          <w:color w:val="auto"/>
        </w:rPr>
      </w:pPr>
    </w:p>
    <w:p>
      <w:pPr>
        <w:ind w:left="5020"/>
        <w:spacing w:after="0"/>
        <w:rPr>
          <w:sz w:val="20"/>
          <w:szCs w:val="20"/>
          <w:color w:val="auto"/>
        </w:rPr>
      </w:pPr>
      <w:r>
        <w:rPr>
          <w:rFonts w:ascii="Arial" w:cs="Arial" w:eastAsia="Arial" w:hAnsi="Arial"/>
          <w:sz w:val="16"/>
          <w:szCs w:val="16"/>
          <w:b w:val="1"/>
          <w:bCs w:val="1"/>
          <w:color w:val="auto"/>
        </w:rPr>
        <w:t>SCHEDULE 14A</w:t>
      </w:r>
    </w:p>
    <w:p>
      <w:pPr>
        <w:sectPr>
          <w:pgSz w:w="11900" w:h="16838" w:orient="portrait"/>
          <w:cols w:equalWidth="0" w:num="1">
            <w:col w:w="10160"/>
          </w:cols>
          <w:pgMar w:left="300" w:top="504" w:right="1439" w:bottom="1440" w:gutter="0" w:footer="0" w:header="0"/>
        </w:sectPr>
      </w:pPr>
    </w:p>
    <w:p>
      <w:pPr>
        <w:spacing w:after="0" w:line="166" w:lineRule="exact"/>
        <w:rPr>
          <w:sz w:val="24"/>
          <w:szCs w:val="24"/>
          <w:color w:val="auto"/>
        </w:rPr>
      </w:pPr>
    </w:p>
    <w:p>
      <w:pPr>
        <w:ind w:left="4460"/>
        <w:spacing w:after="0"/>
        <w:rPr>
          <w:sz w:val="20"/>
          <w:szCs w:val="20"/>
          <w:color w:val="auto"/>
        </w:rPr>
      </w:pPr>
      <w:r>
        <w:rPr>
          <w:rFonts w:ascii="Arial" w:cs="Arial" w:eastAsia="Arial" w:hAnsi="Arial"/>
          <w:sz w:val="11"/>
          <w:szCs w:val="11"/>
          <w:color w:val="auto"/>
        </w:rPr>
        <w:t>Proxy Statement Pursuant to Section 14(a) of</w:t>
      </w:r>
    </w:p>
    <w:p>
      <w:pPr>
        <w:spacing w:after="0" w:line="24" w:lineRule="exact"/>
        <w:rPr>
          <w:sz w:val="24"/>
          <w:szCs w:val="24"/>
          <w:color w:val="auto"/>
        </w:rPr>
      </w:pPr>
    </w:p>
    <w:p>
      <w:pPr>
        <w:ind w:left="4020"/>
        <w:spacing w:after="0"/>
        <w:rPr>
          <w:sz w:val="20"/>
          <w:szCs w:val="20"/>
          <w:color w:val="auto"/>
        </w:rPr>
      </w:pPr>
      <w:r>
        <w:rPr>
          <w:rFonts w:ascii="Arial" w:cs="Arial" w:eastAsia="Arial" w:hAnsi="Arial"/>
          <w:sz w:val="11"/>
          <w:szCs w:val="11"/>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127" w:lineRule="exact"/>
        <w:rPr>
          <w:sz w:val="24"/>
          <w:szCs w:val="24"/>
          <w:color w:val="auto"/>
        </w:rPr>
      </w:pPr>
    </w:p>
    <w:p>
      <w:pPr>
        <w:sectPr>
          <w:pgSz w:w="11900" w:h="16838" w:orient="portrait"/>
          <w:cols w:equalWidth="0" w:num="2">
            <w:col w:w="6860" w:space="360"/>
            <w:col w:w="2940"/>
          </w:cols>
          <w:pgMar w:left="300" w:top="504" w:right="1439" w:bottom="1440" w:gutter="0" w:footer="0" w:header="0"/>
          <w:type w:val="continuous"/>
        </w:sectPr>
      </w:pPr>
    </w:p>
    <w:p>
      <w:pPr>
        <w:ind w:left="1120"/>
        <w:spacing w:after="0" w:line="138" w:lineRule="exact"/>
        <w:rPr>
          <w:sz w:val="20"/>
          <w:szCs w:val="20"/>
          <w:color w:val="auto"/>
        </w:rPr>
      </w:pPr>
      <w:r>
        <w:rPr>
          <w:rFonts w:ascii="Arial" w:cs="Arial" w:eastAsia="Arial" w:hAnsi="Arial"/>
          <w:sz w:val="12"/>
          <w:szCs w:val="12"/>
          <w:color w:val="auto"/>
        </w:rPr>
        <w:t xml:space="preserve">Filed by the Registrant </w:t>
      </w:r>
      <w:r>
        <w:rPr>
          <w:rFonts w:ascii="MS PGothic" w:cs="MS PGothic" w:eastAsia="MS PGothic" w:hAnsi="MS PGothic"/>
          <w:sz w:val="12"/>
          <w:szCs w:val="12"/>
          <w:color w:val="auto"/>
        </w:rPr>
        <w:t>☒</w:t>
      </w:r>
    </w:p>
    <w:p>
      <w:pPr>
        <w:spacing w:after="0" w:line="180" w:lineRule="exact"/>
        <w:rPr>
          <w:sz w:val="24"/>
          <w:szCs w:val="24"/>
          <w:color w:val="auto"/>
        </w:rPr>
      </w:pPr>
    </w:p>
    <w:p>
      <w:pPr>
        <w:ind w:left="1120"/>
        <w:spacing w:after="0"/>
        <w:rPr>
          <w:sz w:val="20"/>
          <w:szCs w:val="20"/>
          <w:color w:val="auto"/>
        </w:rPr>
      </w:pPr>
      <w:r>
        <w:rPr>
          <w:rFonts w:ascii="Arial" w:cs="Arial" w:eastAsia="Arial" w:hAnsi="Arial"/>
          <w:sz w:val="12"/>
          <w:szCs w:val="12"/>
          <w:color w:val="auto"/>
        </w:rPr>
        <w:t>Filed by a Party other than the Registrant</w:t>
      </w:r>
    </w:p>
    <w:p>
      <w:pPr>
        <w:spacing w:after="0" w:line="135" w:lineRule="exact"/>
        <w:rPr>
          <w:sz w:val="24"/>
          <w:szCs w:val="24"/>
          <w:color w:val="auto"/>
        </w:rPr>
      </w:pPr>
    </w:p>
    <w:p>
      <w:pPr>
        <w:ind w:left="1120"/>
        <w:spacing w:after="0"/>
        <w:rPr>
          <w:sz w:val="20"/>
          <w:szCs w:val="20"/>
          <w:color w:val="auto"/>
        </w:rPr>
      </w:pPr>
      <w:r>
        <w:rPr>
          <w:rFonts w:ascii="Arial" w:cs="Arial" w:eastAsia="Arial" w:hAnsi="Arial"/>
          <w:sz w:val="12"/>
          <w:szCs w:val="12"/>
          <w:color w:val="auto"/>
        </w:rPr>
        <w:t>Check the appropriate box:</w:t>
      </w:r>
    </w:p>
    <w:p>
      <w:pPr>
        <w:spacing w:after="0" w:line="163" w:lineRule="exact"/>
        <w:rPr>
          <w:sz w:val="24"/>
          <w:szCs w:val="24"/>
          <w:color w:val="auto"/>
        </w:rPr>
      </w:pPr>
    </w:p>
    <w:p>
      <w:pPr>
        <w:ind w:left="1120"/>
        <w:spacing w:after="0"/>
        <w:rPr>
          <w:sz w:val="24"/>
          <w:szCs w:val="24"/>
          <w:color w:val="auto"/>
        </w:rPr>
      </w:pPr>
      <w:r>
        <w:rPr>
          <w:rFonts w:ascii="Arial" w:cs="Arial" w:eastAsia="Arial" w:hAnsi="Arial"/>
          <w:sz w:val="12"/>
          <w:szCs w:val="12"/>
          <w:color w:val="auto"/>
        </w:rPr>
        <w:t>Preliminary Proxy Statement</w:t>
      </w:r>
    </w:p>
    <w:p>
      <w:pPr>
        <w:spacing w:after="0" w:line="160" w:lineRule="exact"/>
        <w:rPr>
          <w:sz w:val="24"/>
          <w:szCs w:val="24"/>
          <w:color w:val="auto"/>
        </w:rPr>
      </w:pPr>
    </w:p>
    <w:p>
      <w:pPr>
        <w:ind w:left="1120"/>
        <w:spacing w:after="0"/>
        <w:rPr>
          <w:sz w:val="24"/>
          <w:szCs w:val="24"/>
          <w:color w:val="auto"/>
        </w:rPr>
      </w:pPr>
      <w:r>
        <w:rPr>
          <w:rFonts w:ascii="Arial" w:cs="Arial" w:eastAsia="Arial" w:hAnsi="Arial"/>
          <w:sz w:val="12"/>
          <w:szCs w:val="12"/>
          <w:b w:val="1"/>
          <w:bCs w:val="1"/>
          <w:color w:val="auto"/>
        </w:rPr>
        <w:t>Confidential, for Use of the Commission Only (as permitted by Rule 14a-6(e)(2))</w:t>
      </w:r>
    </w:p>
    <w:p>
      <w:pPr>
        <w:spacing w:after="0" w:line="165" w:lineRule="exact"/>
        <w:rPr>
          <w:sz w:val="24"/>
          <w:szCs w:val="24"/>
          <w:color w:val="auto"/>
        </w:rPr>
      </w:pPr>
    </w:p>
    <w:p>
      <w:pPr>
        <w:ind w:left="1380" w:hanging="257"/>
        <w:spacing w:after="0"/>
        <w:tabs>
          <w:tab w:leader="none" w:pos="138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163" w:lineRule="exact"/>
        <w:rPr>
          <w:sz w:val="24"/>
          <w:szCs w:val="24"/>
          <w:color w:val="auto"/>
        </w:rPr>
      </w:pPr>
    </w:p>
    <w:p>
      <w:pPr>
        <w:ind w:left="1120"/>
        <w:spacing w:after="0"/>
        <w:rPr>
          <w:sz w:val="24"/>
          <w:szCs w:val="24"/>
          <w:color w:val="auto"/>
        </w:rPr>
      </w:pPr>
      <w:r>
        <w:rPr>
          <w:rFonts w:ascii="Arial" w:cs="Arial" w:eastAsia="Arial" w:hAnsi="Arial"/>
          <w:sz w:val="12"/>
          <w:szCs w:val="12"/>
          <w:color w:val="auto"/>
        </w:rPr>
        <w:t>Definitive Additional Materials</w:t>
      </w:r>
    </w:p>
    <w:p>
      <w:pPr>
        <w:spacing w:after="0" w:line="162" w:lineRule="exact"/>
        <w:rPr>
          <w:sz w:val="24"/>
          <w:szCs w:val="24"/>
          <w:color w:val="auto"/>
        </w:rPr>
      </w:pPr>
    </w:p>
    <w:p>
      <w:pPr>
        <w:ind w:left="1120"/>
        <w:spacing w:after="0"/>
        <w:rPr>
          <w:sz w:val="24"/>
          <w:szCs w:val="24"/>
          <w:color w:val="auto"/>
        </w:rPr>
      </w:pPr>
      <w:r>
        <w:rPr>
          <w:rFonts w:ascii="Arial" w:cs="Arial" w:eastAsia="Arial" w:hAnsi="Arial"/>
          <w:sz w:val="12"/>
          <w:szCs w:val="12"/>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713105</wp:posOffset>
            </wp:positionH>
            <wp:positionV relativeFrom="paragraph">
              <wp:posOffset>492760</wp:posOffset>
            </wp:positionV>
            <wp:extent cx="57531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3100" cy="571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278765</wp:posOffset>
            </wp:positionV>
            <wp:extent cx="763905" cy="173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3905" cy="173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39"/>
        <w:spacing w:after="0"/>
        <w:rPr>
          <w:sz w:val="20"/>
          <w:szCs w:val="20"/>
          <w:color w:val="auto"/>
        </w:rPr>
      </w:pPr>
      <w:r>
        <w:rPr>
          <w:rFonts w:ascii="Arial" w:cs="Arial" w:eastAsia="Arial" w:hAnsi="Arial"/>
          <w:sz w:val="12"/>
          <w:szCs w:val="12"/>
          <w:color w:val="auto"/>
        </w:rPr>
        <w:t>(Name of Registrant as Specified In Its Charter)</w:t>
      </w:r>
    </w:p>
    <w:p>
      <w:pPr>
        <w:spacing w:after="0" w:line="161" w:lineRule="exact"/>
        <w:rPr>
          <w:sz w:val="24"/>
          <w:szCs w:val="24"/>
          <w:color w:val="auto"/>
        </w:rPr>
      </w:pPr>
    </w:p>
    <w:p>
      <w:pPr>
        <w:jc w:val="center"/>
        <w:ind w:right="-1139"/>
        <w:spacing w:after="0"/>
        <w:rPr>
          <w:sz w:val="20"/>
          <w:szCs w:val="20"/>
          <w:color w:val="auto"/>
        </w:rPr>
      </w:pPr>
      <w:r>
        <w:rPr>
          <w:rFonts w:ascii="Arial" w:cs="Arial" w:eastAsia="Arial" w:hAnsi="Arial"/>
          <w:sz w:val="12"/>
          <w:szCs w:val="1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713105</wp:posOffset>
            </wp:positionH>
            <wp:positionV relativeFrom="paragraph">
              <wp:posOffset>48260</wp:posOffset>
            </wp:positionV>
            <wp:extent cx="57531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3100" cy="5715"/>
                    </a:xfrm>
                    <a:prstGeom prst="rect">
                      <a:avLst/>
                    </a:prstGeom>
                    <a:noFill/>
                  </pic:spPr>
                </pic:pic>
              </a:graphicData>
            </a:graphic>
          </wp:anchor>
        </w:drawing>
      </w:r>
    </w:p>
    <w:p>
      <w:pPr>
        <w:spacing w:after="0" w:line="108" w:lineRule="exact"/>
        <w:rPr>
          <w:sz w:val="24"/>
          <w:szCs w:val="24"/>
          <w:color w:val="auto"/>
        </w:rPr>
      </w:pPr>
    </w:p>
    <w:p>
      <w:pPr>
        <w:jc w:val="center"/>
        <w:ind w:right="-1139"/>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135" w:lineRule="exact"/>
        <w:rPr>
          <w:sz w:val="24"/>
          <w:szCs w:val="24"/>
          <w:color w:val="auto"/>
        </w:rPr>
      </w:pPr>
    </w:p>
    <w:p>
      <w:pPr>
        <w:ind w:left="1120"/>
        <w:spacing w:after="0"/>
        <w:rPr>
          <w:sz w:val="20"/>
          <w:szCs w:val="20"/>
          <w:color w:val="auto"/>
        </w:rPr>
      </w:pPr>
      <w:r>
        <w:rPr>
          <w:rFonts w:ascii="Arial" w:cs="Arial" w:eastAsia="Arial" w:hAnsi="Arial"/>
          <w:sz w:val="12"/>
          <w:szCs w:val="12"/>
          <w:color w:val="auto"/>
        </w:rPr>
        <w:t>Payment of Filing Fee (Check the appropriate box):</w:t>
      </w:r>
    </w:p>
    <w:p>
      <w:pPr>
        <w:spacing w:after="0" w:line="163" w:lineRule="exact"/>
        <w:rPr>
          <w:sz w:val="24"/>
          <w:szCs w:val="24"/>
          <w:color w:val="auto"/>
        </w:rPr>
      </w:pPr>
    </w:p>
    <w:p>
      <w:pPr>
        <w:ind w:left="1380" w:hanging="257"/>
        <w:spacing w:after="0"/>
        <w:tabs>
          <w:tab w:leader="none" w:pos="138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163" w:lineRule="exact"/>
        <w:rPr>
          <w:sz w:val="24"/>
          <w:szCs w:val="24"/>
          <w:color w:val="auto"/>
        </w:rPr>
      </w:pPr>
    </w:p>
    <w:p>
      <w:pPr>
        <w:ind w:left="1120"/>
        <w:spacing w:after="0"/>
        <w:rPr>
          <w:sz w:val="24"/>
          <w:szCs w:val="24"/>
          <w:color w:val="auto"/>
        </w:rPr>
      </w:pPr>
      <w:r>
        <w:rPr>
          <w:rFonts w:ascii="Arial" w:cs="Arial" w:eastAsia="Arial" w:hAnsi="Arial"/>
          <w:sz w:val="12"/>
          <w:szCs w:val="12"/>
          <w:color w:val="auto"/>
        </w:rPr>
        <w:t>Fee computed on table below per Exchange Act Rules 14a-6(i)(1) and 0-11.</w:t>
      </w:r>
    </w:p>
    <w:p>
      <w:pPr>
        <w:spacing w:after="0" w:line="162" w:lineRule="exact"/>
        <w:rPr>
          <w:sz w:val="24"/>
          <w:szCs w:val="24"/>
          <w:color w:val="auto"/>
        </w:rPr>
      </w:pPr>
    </w:p>
    <w:p>
      <w:pPr>
        <w:ind w:left="1660" w:hanging="273"/>
        <w:spacing w:after="0"/>
        <w:tabs>
          <w:tab w:leader="none" w:pos="1660" w:val="left"/>
        </w:tabs>
        <w:numPr>
          <w:ilvl w:val="1"/>
          <w:numId w:val="5"/>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171" w:lineRule="exact"/>
        <w:rPr>
          <w:rFonts w:ascii="Arial" w:cs="Arial" w:eastAsia="Arial" w:hAnsi="Arial"/>
          <w:sz w:val="12"/>
          <w:szCs w:val="12"/>
          <w:color w:val="auto"/>
        </w:rPr>
      </w:pPr>
    </w:p>
    <w:p>
      <w:pPr>
        <w:ind w:left="1660" w:hanging="273"/>
        <w:spacing w:after="0"/>
        <w:tabs>
          <w:tab w:leader="none" w:pos="1660" w:val="left"/>
        </w:tabs>
        <w:numPr>
          <w:ilvl w:val="1"/>
          <w:numId w:val="5"/>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171" w:lineRule="exact"/>
        <w:rPr>
          <w:rFonts w:ascii="Arial" w:cs="Arial" w:eastAsia="Arial" w:hAnsi="Arial"/>
          <w:sz w:val="12"/>
          <w:szCs w:val="12"/>
          <w:color w:val="auto"/>
        </w:rPr>
      </w:pPr>
    </w:p>
    <w:p>
      <w:pPr>
        <w:ind w:left="1660" w:right="40" w:hanging="273"/>
        <w:spacing w:after="0" w:line="274" w:lineRule="auto"/>
        <w:tabs>
          <w:tab w:leader="none" w:pos="1660" w:val="left"/>
        </w:tabs>
        <w:numPr>
          <w:ilvl w:val="1"/>
          <w:numId w:val="5"/>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131" w:lineRule="exact"/>
        <w:rPr>
          <w:rFonts w:ascii="Arial" w:cs="Arial" w:eastAsia="Arial" w:hAnsi="Arial"/>
          <w:sz w:val="12"/>
          <w:szCs w:val="12"/>
          <w:color w:val="auto"/>
        </w:rPr>
      </w:pPr>
    </w:p>
    <w:p>
      <w:pPr>
        <w:ind w:left="1660" w:hanging="273"/>
        <w:spacing w:after="0"/>
        <w:tabs>
          <w:tab w:leader="none" w:pos="1660" w:val="left"/>
        </w:tabs>
        <w:numPr>
          <w:ilvl w:val="1"/>
          <w:numId w:val="5"/>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171" w:lineRule="exact"/>
        <w:rPr>
          <w:rFonts w:ascii="Arial" w:cs="Arial" w:eastAsia="Arial" w:hAnsi="Arial"/>
          <w:sz w:val="12"/>
          <w:szCs w:val="12"/>
          <w:color w:val="auto"/>
        </w:rPr>
      </w:pPr>
    </w:p>
    <w:p>
      <w:pPr>
        <w:ind w:left="1660" w:hanging="273"/>
        <w:spacing w:after="0"/>
        <w:tabs>
          <w:tab w:leader="none" w:pos="1660" w:val="left"/>
        </w:tabs>
        <w:numPr>
          <w:ilvl w:val="1"/>
          <w:numId w:val="5"/>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335" w:lineRule="exact"/>
        <w:rPr>
          <w:rFonts w:ascii="Arial" w:cs="Arial" w:eastAsia="Arial" w:hAnsi="Arial"/>
          <w:sz w:val="12"/>
          <w:szCs w:val="12"/>
          <w:color w:val="auto"/>
        </w:rPr>
      </w:pPr>
    </w:p>
    <w:p>
      <w:pPr>
        <w:ind w:left="1120"/>
        <w:spacing w:after="0"/>
        <w:rPr>
          <w:rFonts w:ascii="Arial" w:cs="Arial" w:eastAsia="Arial" w:hAnsi="Arial"/>
          <w:sz w:val="12"/>
          <w:szCs w:val="12"/>
          <w:color w:val="auto"/>
        </w:rPr>
      </w:pPr>
      <w:r>
        <w:rPr>
          <w:rFonts w:ascii="Arial" w:cs="Arial" w:eastAsia="Arial" w:hAnsi="Arial"/>
          <w:sz w:val="12"/>
          <w:szCs w:val="12"/>
          <w:color w:val="auto"/>
        </w:rPr>
        <w:t>Fee paid previously with preliminary materials.</w:t>
      </w:r>
    </w:p>
    <w:p>
      <w:pPr>
        <w:spacing w:after="0" w:line="162" w:lineRule="exact"/>
        <w:rPr>
          <w:rFonts w:ascii="Arial" w:cs="Arial" w:eastAsia="Arial" w:hAnsi="Arial"/>
          <w:sz w:val="12"/>
          <w:szCs w:val="12"/>
          <w:color w:val="auto"/>
        </w:rPr>
      </w:pPr>
    </w:p>
    <w:p>
      <w:pPr>
        <w:ind w:left="1380"/>
        <w:spacing w:after="0" w:line="274" w:lineRule="auto"/>
        <w:rPr>
          <w:rFonts w:ascii="Arial" w:cs="Arial" w:eastAsia="Arial" w:hAnsi="Arial"/>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2" w:lineRule="exact"/>
        <w:rPr>
          <w:rFonts w:ascii="Arial" w:cs="Arial" w:eastAsia="Arial" w:hAnsi="Arial"/>
          <w:sz w:val="12"/>
          <w:szCs w:val="12"/>
          <w:color w:val="auto"/>
        </w:rPr>
      </w:pPr>
    </w:p>
    <w:p>
      <w:pPr>
        <w:ind w:left="1660" w:hanging="273"/>
        <w:spacing w:after="0"/>
        <w:tabs>
          <w:tab w:leader="none" w:pos="1660" w:val="left"/>
        </w:tabs>
        <w:numPr>
          <w:ilvl w:val="1"/>
          <w:numId w:val="6"/>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171" w:lineRule="exact"/>
        <w:rPr>
          <w:rFonts w:ascii="Arial" w:cs="Arial" w:eastAsia="Arial" w:hAnsi="Arial"/>
          <w:sz w:val="12"/>
          <w:szCs w:val="12"/>
          <w:color w:val="auto"/>
        </w:rPr>
      </w:pPr>
    </w:p>
    <w:p>
      <w:pPr>
        <w:ind w:left="1660" w:hanging="273"/>
        <w:spacing w:after="0"/>
        <w:tabs>
          <w:tab w:leader="none" w:pos="1660" w:val="left"/>
        </w:tabs>
        <w:numPr>
          <w:ilvl w:val="1"/>
          <w:numId w:val="6"/>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171" w:lineRule="exact"/>
        <w:rPr>
          <w:rFonts w:ascii="Arial" w:cs="Arial" w:eastAsia="Arial" w:hAnsi="Arial"/>
          <w:sz w:val="12"/>
          <w:szCs w:val="12"/>
          <w:color w:val="auto"/>
        </w:rPr>
      </w:pPr>
    </w:p>
    <w:p>
      <w:pPr>
        <w:ind w:left="1660" w:hanging="273"/>
        <w:spacing w:after="0"/>
        <w:tabs>
          <w:tab w:leader="none" w:pos="1660" w:val="left"/>
        </w:tabs>
        <w:numPr>
          <w:ilvl w:val="1"/>
          <w:numId w:val="6"/>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171" w:lineRule="exact"/>
        <w:rPr>
          <w:rFonts w:ascii="Arial" w:cs="Arial" w:eastAsia="Arial" w:hAnsi="Arial"/>
          <w:sz w:val="12"/>
          <w:szCs w:val="12"/>
          <w:color w:val="auto"/>
        </w:rPr>
      </w:pPr>
    </w:p>
    <w:p>
      <w:pPr>
        <w:ind w:left="1660" w:hanging="273"/>
        <w:spacing w:after="0"/>
        <w:tabs>
          <w:tab w:leader="none" w:pos="1660" w:val="left"/>
        </w:tabs>
        <w:numPr>
          <w:ilvl w:val="1"/>
          <w:numId w:val="6"/>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385445</wp:posOffset>
            </wp:positionV>
            <wp:extent cx="718375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3755" cy="1841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-2122805</wp:posOffset>
            </wp:positionV>
            <wp:extent cx="54057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5755" cy="571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-1925955</wp:posOffset>
            </wp:positionV>
            <wp:extent cx="54057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5755" cy="571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-1642110</wp:posOffset>
            </wp:positionV>
            <wp:extent cx="54057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05755" cy="571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-1445260</wp:posOffset>
            </wp:positionV>
            <wp:extent cx="54057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5755" cy="571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-1248410</wp:posOffset>
            </wp:positionV>
            <wp:extent cx="54057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5755" cy="571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-478790</wp:posOffset>
            </wp:positionV>
            <wp:extent cx="540575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5755" cy="571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-281940</wp:posOffset>
            </wp:positionV>
            <wp:extent cx="540575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5755" cy="571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-85090</wp:posOffset>
            </wp:positionV>
            <wp:extent cx="540575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05755" cy="571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111125</wp:posOffset>
            </wp:positionV>
            <wp:extent cx="540575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05755" cy="5715"/>
                    </a:xfrm>
                    <a:prstGeom prst="rect">
                      <a:avLst/>
                    </a:prstGeom>
                    <a:noFill/>
                  </pic:spPr>
                </pic:pic>
              </a:graphicData>
            </a:graphic>
          </wp:anchor>
        </w:drawing>
      </w:r>
    </w:p>
    <w:p>
      <w:pPr>
        <w:sectPr>
          <w:pgSz w:w="11900" w:h="16838" w:orient="portrait"/>
          <w:cols w:equalWidth="0" w:num="1">
            <w:col w:w="10160"/>
          </w:cols>
          <w:pgMar w:left="300" w:top="504" w:right="14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187325</wp:posOffset>
            </wp:positionV>
            <wp:extent cx="7218045" cy="9404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40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94615</wp:posOffset>
            </wp:positionV>
            <wp:extent cx="7218045" cy="9382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38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94615</wp:posOffset>
            </wp:positionV>
            <wp:extent cx="7218045" cy="9404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40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94615</wp:posOffset>
            </wp:positionV>
            <wp:extent cx="7218045" cy="9404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40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94615</wp:posOffset>
            </wp:positionV>
            <wp:extent cx="7218045" cy="9404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40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218045" cy="9404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40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94615</wp:posOffset>
            </wp:positionV>
            <wp:extent cx="7218045" cy="9382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38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94615</wp:posOffset>
            </wp:positionV>
            <wp:extent cx="7218045" cy="9382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38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94615</wp:posOffset>
            </wp:positionV>
            <wp:extent cx="7218045" cy="9382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38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94615</wp:posOffset>
            </wp:positionV>
            <wp:extent cx="7218045" cy="9382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38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218045" cy="9382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38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94615</wp:posOffset>
            </wp:positionV>
            <wp:extent cx="7218045" cy="9382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38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94615</wp:posOffset>
            </wp:positionV>
            <wp:extent cx="7218045" cy="9382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38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94615</wp:posOffset>
            </wp:positionV>
            <wp:extent cx="7218045" cy="9382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38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94615</wp:posOffset>
            </wp:positionV>
            <wp:extent cx="7218045" cy="9382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38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218045" cy="9382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38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94615</wp:posOffset>
            </wp:positionV>
            <wp:extent cx="7218045" cy="9382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38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94615</wp:posOffset>
            </wp:positionV>
            <wp:extent cx="7218045" cy="9382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38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94615</wp:posOffset>
            </wp:positionV>
            <wp:extent cx="7218045" cy="9382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38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94615</wp:posOffset>
            </wp:positionV>
            <wp:extent cx="7218045" cy="9382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38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63905" cy="173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3905" cy="1733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300 SOUTH GRAND AVENUE, 9TH FLOOR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LOS ANGELES, CALIFORNIA 90071</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Dear AECOM Stockholder:</w:t>
      </w:r>
    </w:p>
    <w:p>
      <w:pPr>
        <w:sectPr>
          <w:pgSz w:w="11900" w:h="16838" w:orient="portrait"/>
          <w:cols w:equalWidth="0" w:num="1">
            <w:col w:w="10159"/>
          </w:cols>
          <w:pgMar w:left="300" w:top="1440" w:right="1440" w:bottom="0" w:gutter="0" w:footer="0" w:header="0"/>
        </w:sectPr>
      </w:pPr>
    </w:p>
    <w:bookmarkStart w:id="21" w:name="page22"/>
    <w:bookmarkEnd w:id="21"/>
    <w:p>
      <w:pPr>
        <w:jc w:val="both"/>
        <w:spacing w:after="0" w:line="280" w:lineRule="auto"/>
        <w:rPr>
          <w:sz w:val="20"/>
          <w:szCs w:val="20"/>
          <w:color w:val="auto"/>
        </w:rPr>
      </w:pPr>
      <w:r>
        <w:rPr>
          <w:rFonts w:ascii="Arial" w:cs="Arial" w:eastAsia="Arial" w:hAnsi="Arial"/>
          <w:sz w:val="11"/>
          <w:szCs w:val="11"/>
          <w:color w:val="auto"/>
        </w:rPr>
        <w:t>You are cordially invited to attend the 2021 Annual Meeting of Stockholders (the "2021 Annual Meeting") of AECOM, which will be held on Wednesday, February 24, 2021, at 8:00 a.m. Pacific Time. The 2021 Annual Meeting will be a completely virtual meeting, conducted via live webcast, as a health precaution in light of the global COVID-19 pandemic. The virtual meeting format allows all of our stockholders the opportunity to participate in the annual meeting no matter where they are located. You will be able to attend the annual meeting, vote, and submit questions during the meeting by visiting www.meetingcenter.io/276990237. Further information regarding attendance, including how to access the virtual meeting, is set forth in the "Attending the Virtual Annual Meeting" section of the attached Proxy Statement.</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Details of the business to be conducted at the 2021 Annual Meeting are given in the attached Notice of Annual Meeting of Stockholders and the attached Proxy Statement.</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Whether or not you plan to attend the 2021 Annual Meeting, it is important that your shares be represented. The attached Proxy Statement contains details about how you may vote your shares.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1146175" cy="6076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46175" cy="60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W. Troy Rudd</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86995</wp:posOffset>
            </wp:positionV>
            <wp:extent cx="718375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2" w:name="page23"/>
    <w:bookmarkEnd w:id="22"/>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63905" cy="173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3905" cy="1733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300 SOUTH GRAND AVENUE, 9TH FLOOR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LOS ANGELES, CALIFORNIA 90071</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NOTICE OF ANNUAL MEETING OF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 BE HELD ON FEBRUARY 24, 2021</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The 2021 Annual Meeting of Stockholders (the "2021 Annual Meeting") of AECOM (the "Company," "our" or "we") will be held on Wednesday, February 24, 2021, at 8:00 a.m. Pacific Time, virtually by live webcast.</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You will be able to attend the annual meeting, vote, and submit questions during the meeting by visiting www.meetingcenter.io/276990237. At the 2021 Annual Meeting, you will be asked to:</w:t>
      </w:r>
    </w:p>
    <w:p>
      <w:pPr>
        <w:spacing w:after="0" w:line="131" w:lineRule="exact"/>
        <w:rPr>
          <w:sz w:val="20"/>
          <w:szCs w:val="20"/>
          <w:color w:val="auto"/>
        </w:rPr>
      </w:pPr>
    </w:p>
    <w:p>
      <w:pPr>
        <w:ind w:left="720" w:hanging="362"/>
        <w:spacing w:after="0"/>
        <w:tabs>
          <w:tab w:leader="none" w:pos="720" w:val="left"/>
        </w:tabs>
        <w:numPr>
          <w:ilvl w:val="0"/>
          <w:numId w:val="7"/>
        </w:numPr>
        <w:rPr>
          <w:rFonts w:ascii="Arial" w:cs="Arial" w:eastAsia="Arial" w:hAnsi="Arial"/>
          <w:sz w:val="11"/>
          <w:szCs w:val="11"/>
          <w:color w:val="auto"/>
        </w:rPr>
      </w:pPr>
      <w:r>
        <w:rPr>
          <w:rFonts w:ascii="Arial" w:cs="Arial" w:eastAsia="Arial" w:hAnsi="Arial"/>
          <w:sz w:val="11"/>
          <w:szCs w:val="11"/>
          <w:color w:val="auto"/>
        </w:rPr>
        <w:t>Elect each of the 11 director nominees named in the Proxy Statement accompanying this notice to the Company's Board of Directors to serve until the Company's 2022 Annual Meeting of Stockholders.</w:t>
      </w:r>
    </w:p>
    <w:p>
      <w:pPr>
        <w:spacing w:after="0" w:line="181" w:lineRule="exact"/>
        <w:rPr>
          <w:rFonts w:ascii="Arial" w:cs="Arial" w:eastAsia="Arial" w:hAnsi="Arial"/>
          <w:sz w:val="11"/>
          <w:szCs w:val="11"/>
          <w:color w:val="auto"/>
        </w:rPr>
      </w:pPr>
    </w:p>
    <w:p>
      <w:pPr>
        <w:ind w:left="720"/>
        <w:spacing w:after="0"/>
        <w:rPr>
          <w:rFonts w:ascii="Arial" w:cs="Arial" w:eastAsia="Arial" w:hAnsi="Arial"/>
          <w:sz w:val="11"/>
          <w:szCs w:val="11"/>
          <w:color w:val="auto"/>
        </w:rPr>
      </w:pPr>
      <w:r>
        <w:rPr>
          <w:rFonts w:ascii="Arial" w:cs="Arial" w:eastAsia="Arial" w:hAnsi="Arial"/>
          <w:sz w:val="12"/>
          <w:szCs w:val="12"/>
          <w:b w:val="1"/>
          <w:bCs w:val="1"/>
          <w:color w:val="auto"/>
        </w:rPr>
        <w:t>The Board of Directors recommends that you vote FOR each of the director nominees.</w:t>
      </w:r>
    </w:p>
    <w:p>
      <w:pPr>
        <w:spacing w:after="0" w:line="137" w:lineRule="exact"/>
        <w:rPr>
          <w:rFonts w:ascii="Arial" w:cs="Arial" w:eastAsia="Arial" w:hAnsi="Arial"/>
          <w:sz w:val="11"/>
          <w:szCs w:val="11"/>
          <w:color w:val="auto"/>
        </w:rPr>
      </w:pPr>
    </w:p>
    <w:p>
      <w:pPr>
        <w:ind w:left="720" w:hanging="362"/>
        <w:spacing w:after="0"/>
        <w:tabs>
          <w:tab w:leader="none" w:pos="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Ratify the selection of Ernst &amp; Young LLP as our independent registered public accounting firm for Fiscal Year 2021.</w:t>
      </w:r>
    </w:p>
    <w:p>
      <w:pPr>
        <w:spacing w:after="0" w:line="160" w:lineRule="exact"/>
        <w:rPr>
          <w:rFonts w:ascii="Arial" w:cs="Arial" w:eastAsia="Arial" w:hAnsi="Arial"/>
          <w:sz w:val="12"/>
          <w:szCs w:val="12"/>
          <w:color w:val="auto"/>
        </w:rPr>
      </w:pPr>
    </w:p>
    <w:p>
      <w:pPr>
        <w:ind w:left="720"/>
        <w:spacing w:after="0"/>
        <w:rPr>
          <w:rFonts w:ascii="Arial" w:cs="Arial" w:eastAsia="Arial" w:hAnsi="Arial"/>
          <w:sz w:val="12"/>
          <w:szCs w:val="12"/>
          <w:color w:val="auto"/>
        </w:rPr>
      </w:pPr>
      <w:r>
        <w:rPr>
          <w:rFonts w:ascii="Arial" w:cs="Arial" w:eastAsia="Arial" w:hAnsi="Arial"/>
          <w:sz w:val="12"/>
          <w:szCs w:val="12"/>
          <w:b w:val="1"/>
          <w:bCs w:val="1"/>
          <w:color w:val="auto"/>
        </w:rPr>
        <w:t>The Board of Directors recommends that you vote FOR the ratification of the selection of Ernst &amp; Young LLP.</w:t>
      </w:r>
    </w:p>
    <w:p>
      <w:pPr>
        <w:spacing w:after="0" w:line="146" w:lineRule="exact"/>
        <w:rPr>
          <w:rFonts w:ascii="Arial" w:cs="Arial" w:eastAsia="Arial" w:hAnsi="Arial"/>
          <w:sz w:val="12"/>
          <w:szCs w:val="12"/>
          <w:color w:val="auto"/>
        </w:rPr>
      </w:pPr>
    </w:p>
    <w:p>
      <w:pPr>
        <w:ind w:left="720" w:hanging="362"/>
        <w:spacing w:after="0"/>
        <w:tabs>
          <w:tab w:leader="none" w:pos="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Vote to approve the Company's executive compensation, on an advisory basis.</w:t>
      </w:r>
    </w:p>
    <w:p>
      <w:pPr>
        <w:spacing w:after="0" w:line="160" w:lineRule="exact"/>
        <w:rPr>
          <w:rFonts w:ascii="Arial" w:cs="Arial" w:eastAsia="Arial" w:hAnsi="Arial"/>
          <w:sz w:val="12"/>
          <w:szCs w:val="12"/>
          <w:color w:val="auto"/>
        </w:rPr>
      </w:pPr>
    </w:p>
    <w:p>
      <w:pPr>
        <w:ind w:left="720"/>
        <w:spacing w:after="0"/>
        <w:rPr>
          <w:rFonts w:ascii="Arial" w:cs="Arial" w:eastAsia="Arial" w:hAnsi="Arial"/>
          <w:sz w:val="12"/>
          <w:szCs w:val="12"/>
          <w:color w:val="auto"/>
        </w:rPr>
      </w:pPr>
      <w:r>
        <w:rPr>
          <w:rFonts w:ascii="Arial" w:cs="Arial" w:eastAsia="Arial" w:hAnsi="Arial"/>
          <w:sz w:val="12"/>
          <w:szCs w:val="12"/>
          <w:b w:val="1"/>
          <w:bCs w:val="1"/>
          <w:color w:val="auto"/>
        </w:rPr>
        <w:t>The Board of Directors recommends that you vote FOR the Company's executive compensation on an advisory basis.</w:t>
      </w:r>
    </w:p>
    <w:p>
      <w:pPr>
        <w:spacing w:after="0" w:line="137" w:lineRule="exact"/>
        <w:rPr>
          <w:rFonts w:ascii="Arial" w:cs="Arial" w:eastAsia="Arial" w:hAnsi="Arial"/>
          <w:sz w:val="12"/>
          <w:szCs w:val="12"/>
          <w:color w:val="auto"/>
        </w:rPr>
      </w:pPr>
    </w:p>
    <w:p>
      <w:pPr>
        <w:ind w:left="720" w:hanging="362"/>
        <w:spacing w:after="0"/>
        <w:tabs>
          <w:tab w:leader="none" w:pos="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To consider and act upon a stockholder proposal regarding lobbying disclosure.</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2"/>
          <w:szCs w:val="12"/>
          <w:b w:val="1"/>
          <w:bCs w:val="1"/>
          <w:color w:val="auto"/>
        </w:rPr>
        <w:t>The Board of Directors recommends that you vote AGAINST the stockholder proposal.</w:t>
      </w:r>
    </w:p>
    <w:p>
      <w:pPr>
        <w:spacing w:after="0" w:line="147" w:lineRule="exact"/>
        <w:rPr>
          <w:sz w:val="20"/>
          <w:szCs w:val="20"/>
          <w:color w:val="auto"/>
        </w:rPr>
      </w:pPr>
    </w:p>
    <w:p>
      <w:pPr>
        <w:ind w:right="20"/>
        <w:spacing w:after="0" w:line="274" w:lineRule="auto"/>
        <w:rPr>
          <w:sz w:val="20"/>
          <w:szCs w:val="20"/>
          <w:color w:val="auto"/>
        </w:rPr>
      </w:pPr>
      <w:r>
        <w:rPr>
          <w:rFonts w:ascii="Arial" w:cs="Arial" w:eastAsia="Arial" w:hAnsi="Arial"/>
          <w:sz w:val="12"/>
          <w:szCs w:val="12"/>
          <w:color w:val="auto"/>
        </w:rPr>
        <w:t>We will also attend to any other business properly presented at the 2021 Annual Meeting and any adjournment or postponement thereof. The foregoing items of business are more fully described in the Proxy Statement that is attached to, and a part of, this notice.</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Only common stockholders of record at the close of business on January 11, 2021 can vote at the 2021 Annual Meeting or any adjournment or postponement thereof.</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63905" cy="3473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3905" cy="34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Manav Kumar</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Corporate Secretary</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January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86995</wp:posOffset>
            </wp:positionV>
            <wp:extent cx="718375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3" w:name="page24"/>
    <w:bookmarkEnd w:id="23"/>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7677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00B2E5"/>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17677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80" w:type="dxa"/>
            <w:vAlign w:val="bottom"/>
          </w:tcPr>
          <w:p>
            <w:pPr>
              <w:spacing w:after="0"/>
              <w:rPr>
                <w:rFonts w:ascii="Arial" w:cs="Arial" w:eastAsia="Arial" w:hAnsi="Arial"/>
                <w:sz w:val="12"/>
                <w:szCs w:val="12"/>
                <w:b w:val="1"/>
                <w:bCs w:val="1"/>
                <w:u w:val="single" w:color="auto"/>
                <w:color w:val="0000EE"/>
              </w:rPr>
            </w:pPr>
            <w:hyperlink w:anchor="page25">
              <w:r>
                <w:rPr>
                  <w:rFonts w:ascii="Arial" w:cs="Arial" w:eastAsia="Arial" w:hAnsi="Arial"/>
                  <w:sz w:val="12"/>
                  <w:szCs w:val="12"/>
                  <w:b w:val="1"/>
                  <w:bCs w:val="1"/>
                  <w:u w:val="single" w:color="auto"/>
                  <w:color w:val="0000EE"/>
                </w:rPr>
                <w:t>Proxy Statement Summary</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25">
              <w:r>
                <w:rPr>
                  <w:rFonts w:ascii="Arial" w:cs="Arial" w:eastAsia="Arial" w:hAnsi="Arial"/>
                  <w:sz w:val="12"/>
                  <w:szCs w:val="12"/>
                  <w:u w:val="single" w:color="auto"/>
                  <w:color w:val="0000EE"/>
                </w:rPr>
                <w:t>1</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34">
              <w:r>
                <w:rPr>
                  <w:rFonts w:ascii="Arial" w:cs="Arial" w:eastAsia="Arial" w:hAnsi="Arial"/>
                  <w:sz w:val="12"/>
                  <w:szCs w:val="12"/>
                  <w:b w:val="1"/>
                  <w:bCs w:val="1"/>
                  <w:u w:val="single" w:color="auto"/>
                  <w:color w:val="0000EE"/>
                </w:rPr>
                <w:t>Introduction</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34">
              <w:r>
                <w:rPr>
                  <w:rFonts w:ascii="Arial" w:cs="Arial" w:eastAsia="Arial" w:hAnsi="Arial"/>
                  <w:sz w:val="12"/>
                  <w:szCs w:val="12"/>
                  <w:u w:val="single" w:color="auto"/>
                  <w:color w:val="0000EE"/>
                </w:rPr>
                <w:t>10</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35">
              <w:r>
                <w:rPr>
                  <w:rFonts w:ascii="Arial" w:cs="Arial" w:eastAsia="Arial" w:hAnsi="Arial"/>
                  <w:sz w:val="12"/>
                  <w:szCs w:val="12"/>
                  <w:b w:val="1"/>
                  <w:bCs w:val="1"/>
                  <w:u w:val="single" w:color="auto"/>
                  <w:color w:val="0000EE"/>
                </w:rPr>
                <w:t>Annual Meeting Information</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35">
              <w:r>
                <w:rPr>
                  <w:rFonts w:ascii="Arial" w:cs="Arial" w:eastAsia="Arial" w:hAnsi="Arial"/>
                  <w:sz w:val="12"/>
                  <w:szCs w:val="12"/>
                  <w:u w:val="single" w:color="auto"/>
                  <w:color w:val="0000EE"/>
                </w:rPr>
                <w:t>11</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38">
              <w:r>
                <w:rPr>
                  <w:rFonts w:ascii="Arial" w:cs="Arial" w:eastAsia="Arial" w:hAnsi="Arial"/>
                  <w:sz w:val="12"/>
                  <w:szCs w:val="12"/>
                  <w:b w:val="1"/>
                  <w:bCs w:val="1"/>
                  <w:u w:val="single" w:color="auto"/>
                  <w:color w:val="0000EE"/>
                </w:rPr>
                <w:t>Proposal 1: Election of Directors</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38">
              <w:r>
                <w:rPr>
                  <w:rFonts w:ascii="Arial" w:cs="Arial" w:eastAsia="Arial" w:hAnsi="Arial"/>
                  <w:sz w:val="12"/>
                  <w:szCs w:val="12"/>
                  <w:u w:val="single" w:color="auto"/>
                  <w:color w:val="0000EE"/>
                </w:rPr>
                <w:t>14</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48">
              <w:r>
                <w:rPr>
                  <w:rFonts w:ascii="Arial" w:cs="Arial" w:eastAsia="Arial" w:hAnsi="Arial"/>
                  <w:sz w:val="12"/>
                  <w:szCs w:val="12"/>
                  <w:b w:val="1"/>
                  <w:bCs w:val="1"/>
                  <w:u w:val="single" w:color="auto"/>
                  <w:color w:val="0000EE"/>
                </w:rPr>
                <w:t>Proposal 2: Ratification of Selection of Independent Registered Public Accounting Firm</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48">
              <w:r>
                <w:rPr>
                  <w:rFonts w:ascii="Arial" w:cs="Arial" w:eastAsia="Arial" w:hAnsi="Arial"/>
                  <w:sz w:val="12"/>
                  <w:szCs w:val="12"/>
                  <w:u w:val="single" w:color="auto"/>
                  <w:color w:val="0000EE"/>
                </w:rPr>
                <w:t>24</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50">
              <w:r>
                <w:rPr>
                  <w:rFonts w:ascii="Arial" w:cs="Arial" w:eastAsia="Arial" w:hAnsi="Arial"/>
                  <w:sz w:val="12"/>
                  <w:szCs w:val="12"/>
                  <w:b w:val="1"/>
                  <w:bCs w:val="1"/>
                  <w:u w:val="single" w:color="auto"/>
                  <w:color w:val="0000EE"/>
                </w:rPr>
                <w:t>Proposal 3: Advisory Resolution to Approve Executive Compensation</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50">
              <w:r>
                <w:rPr>
                  <w:rFonts w:ascii="Arial" w:cs="Arial" w:eastAsia="Arial" w:hAnsi="Arial"/>
                  <w:sz w:val="12"/>
                  <w:szCs w:val="12"/>
                  <w:u w:val="single" w:color="auto"/>
                  <w:color w:val="0000EE"/>
                </w:rPr>
                <w:t>26</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51">
              <w:r>
                <w:rPr>
                  <w:rFonts w:ascii="Arial" w:cs="Arial" w:eastAsia="Arial" w:hAnsi="Arial"/>
                  <w:sz w:val="12"/>
                  <w:szCs w:val="12"/>
                  <w:b w:val="1"/>
                  <w:bCs w:val="1"/>
                  <w:u w:val="single" w:color="auto"/>
                  <w:color w:val="0000EE"/>
                </w:rPr>
                <w:t>Proposal 4: Stockholder Proposal</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51">
              <w:r>
                <w:rPr>
                  <w:rFonts w:ascii="Arial" w:cs="Arial" w:eastAsia="Arial" w:hAnsi="Arial"/>
                  <w:sz w:val="12"/>
                  <w:szCs w:val="12"/>
                  <w:u w:val="single" w:color="auto"/>
                  <w:color w:val="0000EE"/>
                </w:rPr>
                <w:t>27</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53">
              <w:r>
                <w:rPr>
                  <w:rFonts w:ascii="Arial" w:cs="Arial" w:eastAsia="Arial" w:hAnsi="Arial"/>
                  <w:sz w:val="12"/>
                  <w:szCs w:val="12"/>
                  <w:b w:val="1"/>
                  <w:bCs w:val="1"/>
                  <w:u w:val="single" w:color="auto"/>
                  <w:color w:val="0000EE"/>
                </w:rPr>
                <w:t>Proposal 4: Board of Directors' Statement in Opposition to the Stockholder Proposal</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53">
              <w:r>
                <w:rPr>
                  <w:rFonts w:ascii="Arial" w:cs="Arial" w:eastAsia="Arial" w:hAnsi="Arial"/>
                  <w:sz w:val="12"/>
                  <w:szCs w:val="12"/>
                  <w:u w:val="single" w:color="auto"/>
                  <w:color w:val="0000EE"/>
                </w:rPr>
                <w:t>29</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55">
              <w:r>
                <w:rPr>
                  <w:rFonts w:ascii="Arial" w:cs="Arial" w:eastAsia="Arial" w:hAnsi="Arial"/>
                  <w:sz w:val="12"/>
                  <w:szCs w:val="12"/>
                  <w:b w:val="1"/>
                  <w:bCs w:val="1"/>
                  <w:u w:val="single" w:color="auto"/>
                  <w:color w:val="0000EE"/>
                </w:rPr>
                <w:t>Corporate Governance</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55">
              <w:r>
                <w:rPr>
                  <w:rFonts w:ascii="Arial" w:cs="Arial" w:eastAsia="Arial" w:hAnsi="Arial"/>
                  <w:sz w:val="12"/>
                  <w:szCs w:val="12"/>
                  <w:u w:val="single" w:color="auto"/>
                  <w:color w:val="0000EE"/>
                </w:rPr>
                <w:t>31</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64">
              <w:r>
                <w:rPr>
                  <w:rFonts w:ascii="Arial" w:cs="Arial" w:eastAsia="Arial" w:hAnsi="Arial"/>
                  <w:sz w:val="12"/>
                  <w:szCs w:val="12"/>
                  <w:b w:val="1"/>
                  <w:bCs w:val="1"/>
                  <w:u w:val="single" w:color="auto"/>
                  <w:color w:val="0000EE"/>
                </w:rPr>
                <w:t>Executive Officers</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64">
              <w:r>
                <w:rPr>
                  <w:rFonts w:ascii="Arial" w:cs="Arial" w:eastAsia="Arial" w:hAnsi="Arial"/>
                  <w:sz w:val="12"/>
                  <w:szCs w:val="12"/>
                  <w:u w:val="single" w:color="auto"/>
                  <w:color w:val="0000EE"/>
                </w:rPr>
                <w:t>40</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66">
              <w:r>
                <w:rPr>
                  <w:rFonts w:ascii="Arial" w:cs="Arial" w:eastAsia="Arial" w:hAnsi="Arial"/>
                  <w:sz w:val="12"/>
                  <w:szCs w:val="12"/>
                  <w:b w:val="1"/>
                  <w:bCs w:val="1"/>
                  <w:u w:val="single" w:color="auto"/>
                  <w:color w:val="0000EE"/>
                </w:rPr>
                <w:t>Compensation Discussion and Analysis</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66">
              <w:r>
                <w:rPr>
                  <w:rFonts w:ascii="Arial" w:cs="Arial" w:eastAsia="Arial" w:hAnsi="Arial"/>
                  <w:sz w:val="12"/>
                  <w:szCs w:val="12"/>
                  <w:u w:val="single" w:color="auto"/>
                  <w:color w:val="0000EE"/>
                </w:rPr>
                <w:t>42</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85">
              <w:r>
                <w:rPr>
                  <w:rFonts w:ascii="Arial" w:cs="Arial" w:eastAsia="Arial" w:hAnsi="Arial"/>
                  <w:sz w:val="12"/>
                  <w:szCs w:val="12"/>
                  <w:b w:val="1"/>
                  <w:bCs w:val="1"/>
                  <w:u w:val="single" w:color="auto"/>
                  <w:color w:val="0000EE"/>
                </w:rPr>
                <w:t>Report of the Compensation and Organization Committee of the Board of Directors</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85">
              <w:r>
                <w:rPr>
                  <w:rFonts w:ascii="Arial" w:cs="Arial" w:eastAsia="Arial" w:hAnsi="Arial"/>
                  <w:sz w:val="12"/>
                  <w:szCs w:val="12"/>
                  <w:u w:val="single" w:color="auto"/>
                  <w:color w:val="0000EE"/>
                </w:rPr>
                <w:t>61</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86">
              <w:r>
                <w:rPr>
                  <w:rFonts w:ascii="Arial" w:cs="Arial" w:eastAsia="Arial" w:hAnsi="Arial"/>
                  <w:sz w:val="12"/>
                  <w:szCs w:val="12"/>
                  <w:b w:val="1"/>
                  <w:bCs w:val="1"/>
                  <w:u w:val="single" w:color="auto"/>
                  <w:color w:val="0000EE"/>
                </w:rPr>
                <w:t>Executive Compensation Tables</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86">
              <w:r>
                <w:rPr>
                  <w:rFonts w:ascii="Arial" w:cs="Arial" w:eastAsia="Arial" w:hAnsi="Arial"/>
                  <w:sz w:val="12"/>
                  <w:szCs w:val="12"/>
                  <w:u w:val="single" w:color="auto"/>
                  <w:color w:val="0000EE"/>
                </w:rPr>
                <w:t>62</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95">
              <w:r>
                <w:rPr>
                  <w:rFonts w:ascii="Arial" w:cs="Arial" w:eastAsia="Arial" w:hAnsi="Arial"/>
                  <w:sz w:val="12"/>
                  <w:szCs w:val="12"/>
                  <w:b w:val="1"/>
                  <w:bCs w:val="1"/>
                  <w:u w:val="single" w:color="auto"/>
                  <w:color w:val="0000EE"/>
                </w:rPr>
                <w:t>CEO Pay Ratio</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95">
              <w:r>
                <w:rPr>
                  <w:rFonts w:ascii="Arial" w:cs="Arial" w:eastAsia="Arial" w:hAnsi="Arial"/>
                  <w:sz w:val="12"/>
                  <w:szCs w:val="12"/>
                  <w:u w:val="single" w:color="auto"/>
                  <w:color w:val="0000EE"/>
                </w:rPr>
                <w:t>71</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96">
              <w:r>
                <w:rPr>
                  <w:rFonts w:ascii="Arial" w:cs="Arial" w:eastAsia="Arial" w:hAnsi="Arial"/>
                  <w:sz w:val="12"/>
                  <w:szCs w:val="12"/>
                  <w:b w:val="1"/>
                  <w:bCs w:val="1"/>
                  <w:u w:val="single" w:color="auto"/>
                  <w:color w:val="0000EE"/>
                </w:rPr>
                <w:t>Directors' Compensation</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96">
              <w:r>
                <w:rPr>
                  <w:rFonts w:ascii="Arial" w:cs="Arial" w:eastAsia="Arial" w:hAnsi="Arial"/>
                  <w:sz w:val="12"/>
                  <w:szCs w:val="12"/>
                  <w:u w:val="single" w:color="auto"/>
                  <w:color w:val="0000EE"/>
                </w:rPr>
                <w:t>72</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98">
              <w:r>
                <w:rPr>
                  <w:rFonts w:ascii="Arial" w:cs="Arial" w:eastAsia="Arial" w:hAnsi="Arial"/>
                  <w:sz w:val="12"/>
                  <w:szCs w:val="12"/>
                  <w:b w:val="1"/>
                  <w:bCs w:val="1"/>
                  <w:u w:val="single" w:color="auto"/>
                  <w:color w:val="0000EE"/>
                </w:rPr>
                <w:t>Compensation Committee Interlocks and Insider Participation</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98">
              <w:r>
                <w:rPr>
                  <w:rFonts w:ascii="Arial" w:cs="Arial" w:eastAsia="Arial" w:hAnsi="Arial"/>
                  <w:sz w:val="12"/>
                  <w:szCs w:val="12"/>
                  <w:u w:val="single" w:color="auto"/>
                  <w:color w:val="0000EE"/>
                </w:rPr>
                <w:t>74</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99">
              <w:r>
                <w:rPr>
                  <w:rFonts w:ascii="Arial" w:cs="Arial" w:eastAsia="Arial" w:hAnsi="Arial"/>
                  <w:sz w:val="12"/>
                  <w:szCs w:val="12"/>
                  <w:b w:val="1"/>
                  <w:bCs w:val="1"/>
                  <w:u w:val="single" w:color="auto"/>
                  <w:color w:val="0000EE"/>
                </w:rPr>
                <w:t>Report of the Audit Committee of the Board of Directors</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99">
              <w:r>
                <w:rPr>
                  <w:rFonts w:ascii="Arial" w:cs="Arial" w:eastAsia="Arial" w:hAnsi="Arial"/>
                  <w:sz w:val="12"/>
                  <w:szCs w:val="12"/>
                  <w:u w:val="single" w:color="auto"/>
                  <w:color w:val="0000EE"/>
                </w:rPr>
                <w:t>75</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101">
              <w:r>
                <w:rPr>
                  <w:rFonts w:ascii="Arial" w:cs="Arial" w:eastAsia="Arial" w:hAnsi="Arial"/>
                  <w:sz w:val="12"/>
                  <w:szCs w:val="12"/>
                  <w:b w:val="1"/>
                  <w:bCs w:val="1"/>
                  <w:u w:val="single" w:color="auto"/>
                  <w:color w:val="0000EE"/>
                </w:rPr>
                <w:t>Audit Fees</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101">
              <w:r>
                <w:rPr>
                  <w:rFonts w:ascii="Arial" w:cs="Arial" w:eastAsia="Arial" w:hAnsi="Arial"/>
                  <w:sz w:val="12"/>
                  <w:szCs w:val="12"/>
                  <w:u w:val="single" w:color="auto"/>
                  <w:color w:val="0000EE"/>
                </w:rPr>
                <w:t>77</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102">
              <w:r>
                <w:rPr>
                  <w:rFonts w:ascii="Arial" w:cs="Arial" w:eastAsia="Arial" w:hAnsi="Arial"/>
                  <w:sz w:val="12"/>
                  <w:szCs w:val="12"/>
                  <w:b w:val="1"/>
                  <w:bCs w:val="1"/>
                  <w:u w:val="single" w:color="auto"/>
                  <w:color w:val="0000EE"/>
                </w:rPr>
                <w:t>Security Ownership of Certain Beneficial Owners and Management</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102">
              <w:r>
                <w:rPr>
                  <w:rFonts w:ascii="Arial" w:cs="Arial" w:eastAsia="Arial" w:hAnsi="Arial"/>
                  <w:sz w:val="12"/>
                  <w:szCs w:val="12"/>
                  <w:u w:val="single" w:color="auto"/>
                  <w:color w:val="0000EE"/>
                </w:rPr>
                <w:t>78</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104">
              <w:r>
                <w:rPr>
                  <w:rFonts w:ascii="Arial" w:cs="Arial" w:eastAsia="Arial" w:hAnsi="Arial"/>
                  <w:sz w:val="12"/>
                  <w:szCs w:val="12"/>
                  <w:b w:val="1"/>
                  <w:bCs w:val="1"/>
                  <w:u w:val="single" w:color="auto"/>
                  <w:color w:val="0000EE"/>
                </w:rPr>
                <w:t>Other Information</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104">
              <w:r>
                <w:rPr>
                  <w:rFonts w:ascii="Arial" w:cs="Arial" w:eastAsia="Arial" w:hAnsi="Arial"/>
                  <w:sz w:val="12"/>
                  <w:szCs w:val="12"/>
                  <w:u w:val="single" w:color="auto"/>
                  <w:color w:val="0000EE"/>
                </w:rPr>
                <w:t>80</w:t>
              </w:r>
            </w:hyperlink>
          </w:p>
        </w:tc>
      </w:tr>
      <w:tr>
        <w:trPr>
          <w:trHeight w:val="273"/>
        </w:trPr>
        <w:tc>
          <w:tcPr>
            <w:tcW w:w="6880" w:type="dxa"/>
            <w:vAlign w:val="bottom"/>
          </w:tcPr>
          <w:p>
            <w:pPr>
              <w:spacing w:after="0"/>
              <w:rPr>
                <w:rFonts w:ascii="Arial" w:cs="Arial" w:eastAsia="Arial" w:hAnsi="Arial"/>
                <w:sz w:val="12"/>
                <w:szCs w:val="12"/>
                <w:b w:val="1"/>
                <w:bCs w:val="1"/>
                <w:u w:val="single" w:color="auto"/>
                <w:color w:val="0000EE"/>
              </w:rPr>
            </w:pPr>
            <w:hyperlink w:anchor="page106">
              <w:r>
                <w:rPr>
                  <w:rFonts w:ascii="Arial" w:cs="Arial" w:eastAsia="Arial" w:hAnsi="Arial"/>
                  <w:sz w:val="12"/>
                  <w:szCs w:val="12"/>
                  <w:b w:val="1"/>
                  <w:bCs w:val="1"/>
                  <w:u w:val="single" w:color="auto"/>
                  <w:color w:val="0000EE"/>
                </w:rPr>
                <w:t>Annex A — Reconciliation of Non-GAAP Items</w:t>
              </w:r>
            </w:hyperlink>
          </w:p>
        </w:tc>
        <w:tc>
          <w:tcPr>
            <w:tcW w:w="4420" w:type="dxa"/>
            <w:vAlign w:val="bottom"/>
          </w:tcPr>
          <w:p>
            <w:pPr>
              <w:jc w:val="right"/>
              <w:ind w:right="2201"/>
              <w:spacing w:after="0"/>
              <w:rPr>
                <w:rFonts w:ascii="Arial" w:cs="Arial" w:eastAsia="Arial" w:hAnsi="Arial"/>
                <w:sz w:val="12"/>
                <w:szCs w:val="12"/>
                <w:u w:val="single" w:color="auto"/>
                <w:color w:val="0000EE"/>
              </w:rPr>
            </w:pPr>
            <w:hyperlink w:anchor="page106">
              <w:r>
                <w:rPr>
                  <w:rFonts w:ascii="Arial" w:cs="Arial" w:eastAsia="Arial" w:hAnsi="Arial"/>
                  <w:sz w:val="12"/>
                  <w:szCs w:val="12"/>
                  <w:u w:val="single" w:color="auto"/>
                  <w:color w:val="0000EE"/>
                </w:rPr>
                <w:t>A-1</w:t>
              </w:r>
            </w:hyperlink>
          </w:p>
        </w:tc>
      </w:tr>
      <w:tr>
        <w:trPr>
          <w:trHeight w:val="60"/>
        </w:trPr>
        <w:tc>
          <w:tcPr>
            <w:tcW w:w="6880" w:type="dxa"/>
            <w:vAlign w:val="bottom"/>
            <w:tcBorders>
              <w:bottom w:val="single" w:sz="8" w:color="808080"/>
            </w:tcBorders>
          </w:tcPr>
          <w:p>
            <w:pPr>
              <w:spacing w:after="0"/>
              <w:rPr>
                <w:sz w:val="5"/>
                <w:szCs w:val="5"/>
                <w:color w:val="auto"/>
              </w:rPr>
            </w:pPr>
          </w:p>
        </w:tc>
        <w:tc>
          <w:tcPr>
            <w:tcW w:w="442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7163435</wp:posOffset>
            </wp:positionH>
            <wp:positionV relativeFrom="paragraph">
              <wp:posOffset>-11430</wp:posOffset>
            </wp:positionV>
            <wp:extent cx="1270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Proxy Statement Summary</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Meeting Information</w:t>
      </w:r>
    </w:p>
    <w:p>
      <w:pPr>
        <w:spacing w:after="0" w:line="148" w:lineRule="exact"/>
        <w:rPr>
          <w:sz w:val="20"/>
          <w:szCs w:val="20"/>
          <w:color w:val="auto"/>
        </w:rPr>
      </w:pPr>
    </w:p>
    <w:p>
      <w:pPr>
        <w:ind w:left="1120"/>
        <w:spacing w:after="0"/>
        <w:tabs>
          <w:tab w:leader="none" w:pos="1760" w:val="left"/>
        </w:tabs>
        <w:rPr>
          <w:sz w:val="20"/>
          <w:szCs w:val="20"/>
          <w:color w:val="auto"/>
        </w:rPr>
      </w:pPr>
      <w:r>
        <w:rPr>
          <w:rFonts w:ascii="Arial" w:cs="Arial" w:eastAsia="Arial" w:hAnsi="Arial"/>
          <w:sz w:val="12"/>
          <w:szCs w:val="12"/>
          <w:b w:val="1"/>
          <w:bCs w:val="1"/>
          <w:color w:val="auto"/>
        </w:rPr>
        <w:t>Record</w:t>
      </w:r>
      <w:r>
        <w:rPr>
          <w:sz w:val="20"/>
          <w:szCs w:val="20"/>
          <w:color w:val="auto"/>
        </w:rPr>
        <w:tab/>
      </w:r>
      <w:r>
        <w:rPr>
          <w:rFonts w:ascii="Arial" w:cs="Arial" w:eastAsia="Arial" w:hAnsi="Arial"/>
          <w:sz w:val="12"/>
          <w:szCs w:val="12"/>
          <w:b w:val="1"/>
          <w:bCs w:val="1"/>
          <w:color w:val="auto"/>
        </w:rPr>
        <w:t>January 11, 2021</w:t>
      </w:r>
    </w:p>
    <w:p>
      <w:pPr>
        <w:spacing w:after="0" w:line="13"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auto"/>
        </w:rPr>
        <w:t>Date:</w:t>
      </w:r>
    </w:p>
    <w:p>
      <w:pPr>
        <w:ind w:left="1120"/>
        <w:spacing w:after="0" w:line="237" w:lineRule="auto"/>
        <w:tabs>
          <w:tab w:leader="none" w:pos="1760" w:val="left"/>
        </w:tabs>
        <w:rPr>
          <w:sz w:val="20"/>
          <w:szCs w:val="20"/>
          <w:color w:val="auto"/>
        </w:rPr>
      </w:pPr>
      <w:r>
        <w:rPr>
          <w:rFonts w:ascii="Arial" w:cs="Arial" w:eastAsia="Arial" w:hAnsi="Arial"/>
          <w:sz w:val="12"/>
          <w:szCs w:val="12"/>
          <w:b w:val="1"/>
          <w:bCs w:val="1"/>
          <w:color w:val="auto"/>
        </w:rPr>
        <w:t>Meeting</w:t>
        <w:tab/>
        <w:t>February 24, 2021, 8:00 a.m. (Pacific Time)</w:t>
      </w:r>
    </w:p>
    <w:p>
      <w:pPr>
        <w:ind w:left="1120"/>
        <w:spacing w:after="0"/>
        <w:rPr>
          <w:sz w:val="20"/>
          <w:szCs w:val="20"/>
          <w:color w:val="auto"/>
        </w:rPr>
      </w:pPr>
      <w:r>
        <w:rPr>
          <w:rFonts w:ascii="Arial" w:cs="Arial" w:eastAsia="Arial" w:hAnsi="Arial"/>
          <w:sz w:val="12"/>
          <w:szCs w:val="12"/>
          <w:b w:val="1"/>
          <w:bCs w:val="1"/>
          <w:color w:val="auto"/>
        </w:rPr>
        <w:t>Date:</w:t>
      </w:r>
    </w:p>
    <w:p>
      <w:pPr>
        <w:ind w:left="1120"/>
        <w:spacing w:after="0"/>
        <w:tabs>
          <w:tab w:leader="none" w:pos="1760" w:val="left"/>
          <w:tab w:leader="none" w:pos="2240" w:val="left"/>
          <w:tab w:leader="none" w:pos="2560" w:val="left"/>
          <w:tab w:leader="none" w:pos="3180" w:val="left"/>
          <w:tab w:leader="none" w:pos="3520" w:val="left"/>
          <w:tab w:leader="none" w:pos="3800" w:val="left"/>
          <w:tab w:leader="none" w:pos="4060" w:val="left"/>
          <w:tab w:leader="none" w:pos="4400" w:val="left"/>
          <w:tab w:leader="none" w:pos="4620" w:val="left"/>
          <w:tab w:leader="none" w:pos="5080" w:val="left"/>
          <w:tab w:leader="none" w:pos="5380" w:val="left"/>
          <w:tab w:leader="none" w:pos="5860" w:val="left"/>
          <w:tab w:leader="none" w:pos="6440" w:val="left"/>
          <w:tab w:leader="none" w:pos="6820" w:val="left"/>
          <w:tab w:leader="none" w:pos="7140" w:val="left"/>
          <w:tab w:leader="none" w:pos="7600" w:val="left"/>
          <w:tab w:leader="none" w:pos="8240" w:val="left"/>
          <w:tab w:leader="none" w:pos="8700" w:val="left"/>
          <w:tab w:leader="none" w:pos="8980" w:val="left"/>
          <w:tab w:leader="none" w:pos="9540" w:val="left"/>
          <w:tab w:leader="none" w:pos="9780" w:val="left"/>
        </w:tabs>
        <w:rPr>
          <w:sz w:val="20"/>
          <w:szCs w:val="20"/>
          <w:color w:val="auto"/>
        </w:rPr>
      </w:pPr>
      <w:r>
        <w:rPr>
          <w:rFonts w:ascii="Arial" w:cs="Arial" w:eastAsia="Arial" w:hAnsi="Arial"/>
          <w:sz w:val="12"/>
          <w:szCs w:val="12"/>
          <w:b w:val="1"/>
          <w:bCs w:val="1"/>
          <w:color w:val="auto"/>
        </w:rPr>
        <w:t>Location:</w:t>
        <w:tab/>
        <w:t>Virtual</w:t>
        <w:tab/>
        <w:t>live</w:t>
        <w:tab/>
        <w:t>webcast.</w:t>
      </w:r>
      <w:r>
        <w:rPr>
          <w:sz w:val="20"/>
          <w:szCs w:val="20"/>
          <w:color w:val="auto"/>
        </w:rPr>
        <w:tab/>
      </w:r>
      <w:r>
        <w:rPr>
          <w:rFonts w:ascii="Arial" w:cs="Arial" w:eastAsia="Arial" w:hAnsi="Arial"/>
          <w:sz w:val="12"/>
          <w:szCs w:val="12"/>
          <w:color w:val="auto"/>
        </w:rPr>
        <w:t>You</w:t>
        <w:tab/>
        <w:t>will</w:t>
        <w:tab/>
        <w:t>be</w:t>
        <w:tab/>
        <w:t>able</w:t>
        <w:tab/>
        <w:t>to</w:t>
        <w:tab/>
        <w:t>attend</w:t>
        <w:tab/>
        <w:t>the</w:t>
        <w:tab/>
        <w:t>annual</w:t>
        <w:tab/>
        <w:t>meeting,</w:t>
        <w:tab/>
        <w:t>vote,</w:t>
        <w:tab/>
        <w:t>and</w:t>
        <w:tab/>
        <w:t>submit</w:t>
        <w:tab/>
        <w:t>questions</w:t>
        <w:tab/>
        <w:t>during</w:t>
        <w:tab/>
        <w:t>the</w:t>
        <w:tab/>
        <w:t>meeting</w:t>
        <w:tab/>
        <w:t>by</w:t>
      </w:r>
      <w:r>
        <w:rPr>
          <w:sz w:val="20"/>
          <w:szCs w:val="20"/>
          <w:color w:val="auto"/>
        </w:rPr>
        <w:tab/>
      </w:r>
      <w:r>
        <w:rPr>
          <w:rFonts w:ascii="Arial" w:cs="Arial" w:eastAsia="Arial" w:hAnsi="Arial"/>
          <w:sz w:val="11"/>
          <w:szCs w:val="11"/>
          <w:color w:val="auto"/>
        </w:rPr>
        <w:t>visiting</w:t>
      </w:r>
    </w:p>
    <w:p>
      <w:pPr>
        <w:ind w:left="1780"/>
        <w:spacing w:after="0"/>
        <w:rPr>
          <w:sz w:val="20"/>
          <w:szCs w:val="20"/>
          <w:color w:val="auto"/>
        </w:rPr>
      </w:pPr>
      <w:r>
        <w:rPr>
          <w:rFonts w:ascii="Arial" w:cs="Arial" w:eastAsia="Arial" w:hAnsi="Arial"/>
          <w:sz w:val="12"/>
          <w:szCs w:val="12"/>
          <w:color w:val="auto"/>
        </w:rPr>
        <w:t>www.meetingcenter.io/276990237. Further information regarding attendance, including how to access the virtual meeting, is set forth in the "Attending the Virtual</w:t>
      </w:r>
    </w:p>
    <w:p>
      <w:pPr>
        <w:ind w:left="1780"/>
        <w:spacing w:after="0"/>
        <w:rPr>
          <w:sz w:val="20"/>
          <w:szCs w:val="20"/>
          <w:color w:val="auto"/>
        </w:rPr>
      </w:pPr>
      <w:r>
        <w:rPr>
          <w:rFonts w:ascii="Arial" w:cs="Arial" w:eastAsia="Arial" w:hAnsi="Arial"/>
          <w:sz w:val="12"/>
          <w:szCs w:val="12"/>
          <w:color w:val="auto"/>
        </w:rPr>
        <w:t>Annual Meeting" section of the Proxy Statement</w:t>
      </w:r>
    </w:p>
    <w:p>
      <w:pPr>
        <w:spacing w:after="0" w:line="131" w:lineRule="exact"/>
        <w:rPr>
          <w:sz w:val="20"/>
          <w:szCs w:val="20"/>
          <w:color w:val="auto"/>
        </w:rPr>
      </w:pPr>
    </w:p>
    <w:p>
      <w:pPr>
        <w:spacing w:after="0" w:line="274" w:lineRule="auto"/>
        <w:rPr>
          <w:sz w:val="20"/>
          <w:szCs w:val="20"/>
          <w:color w:val="auto"/>
        </w:rPr>
      </w:pPr>
      <w:r>
        <w:rPr>
          <w:rFonts w:ascii="Arial" w:cs="Arial" w:eastAsia="Arial" w:hAnsi="Arial"/>
          <w:sz w:val="12"/>
          <w:szCs w:val="12"/>
          <w:i w:val="1"/>
          <w:iCs w:val="1"/>
          <w:color w:val="auto"/>
        </w:rPr>
        <w:t>This summary highlights information contained elsewhere in our Proxy Statement and does not contain all of the information that you should consider. We encourage you to read the entire Proxy Statement carefully before voting. We made this Proxy Statement first available to stockholders on January 15, 2021.</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Stockholder Voting Matters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0"/>
                <w:szCs w:val="10"/>
                <w:b w:val="1"/>
                <w:bCs w:val="1"/>
                <w:color w:val="auto"/>
              </w:rPr>
              <w:t>Proposal</w:t>
            </w:r>
          </w:p>
        </w:tc>
        <w:tc>
          <w:tcPr>
            <w:tcW w:w="6520" w:type="dxa"/>
            <w:vAlign w:val="bottom"/>
          </w:tcPr>
          <w:p>
            <w:pPr>
              <w:spacing w:after="0"/>
              <w:rPr>
                <w:sz w:val="10"/>
                <w:szCs w:val="10"/>
                <w:color w:val="auto"/>
              </w:rPr>
            </w:pPr>
          </w:p>
        </w:tc>
        <w:tc>
          <w:tcPr>
            <w:tcW w:w="1320" w:type="dxa"/>
            <w:vAlign w:val="bottom"/>
          </w:tcPr>
          <w:p>
            <w:pPr>
              <w:jc w:val="center"/>
              <w:ind w:right="31"/>
              <w:spacing w:after="0"/>
              <w:rPr>
                <w:sz w:val="20"/>
                <w:szCs w:val="20"/>
                <w:color w:val="auto"/>
              </w:rPr>
            </w:pPr>
            <w:r>
              <w:rPr>
                <w:rFonts w:ascii="Arial" w:cs="Arial" w:eastAsia="Arial" w:hAnsi="Arial"/>
                <w:sz w:val="10"/>
                <w:szCs w:val="10"/>
                <w:b w:val="1"/>
                <w:bCs w:val="1"/>
                <w:color w:val="auto"/>
                <w:w w:val="96"/>
              </w:rPr>
              <w:t>Board's Voting</w:t>
            </w:r>
          </w:p>
        </w:tc>
        <w:tc>
          <w:tcPr>
            <w:tcW w:w="580" w:type="dxa"/>
            <w:vAlign w:val="bottom"/>
          </w:tcPr>
          <w:p>
            <w:pPr>
              <w:jc w:val="center"/>
              <w:ind w:left="51"/>
              <w:spacing w:after="0"/>
              <w:rPr>
                <w:sz w:val="20"/>
                <w:szCs w:val="20"/>
                <w:color w:val="auto"/>
              </w:rPr>
            </w:pPr>
            <w:r>
              <w:rPr>
                <w:rFonts w:ascii="Arial" w:cs="Arial" w:eastAsia="Arial" w:hAnsi="Arial"/>
                <w:sz w:val="10"/>
                <w:szCs w:val="10"/>
                <w:b w:val="1"/>
                <w:bCs w:val="1"/>
                <w:color w:val="auto"/>
              </w:rPr>
              <w:t>Page</w:t>
            </w:r>
          </w:p>
        </w:tc>
      </w:tr>
      <w:tr>
        <w:trPr>
          <w:trHeight w:val="118"/>
        </w:trPr>
        <w:tc>
          <w:tcPr>
            <w:tcW w:w="1120" w:type="dxa"/>
            <w:vAlign w:val="bottom"/>
          </w:tcPr>
          <w:p>
            <w:pPr>
              <w:spacing w:after="0"/>
              <w:rPr>
                <w:sz w:val="10"/>
                <w:szCs w:val="10"/>
                <w:color w:val="auto"/>
              </w:rPr>
            </w:pPr>
          </w:p>
        </w:tc>
        <w:tc>
          <w:tcPr>
            <w:tcW w:w="620" w:type="dxa"/>
            <w:vAlign w:val="bottom"/>
            <w:tcBorders>
              <w:bottom w:val="single" w:sz="8" w:color="00B2E5"/>
            </w:tcBorders>
          </w:tcPr>
          <w:p>
            <w:pPr>
              <w:spacing w:after="0"/>
              <w:rPr>
                <w:sz w:val="20"/>
                <w:szCs w:val="20"/>
                <w:color w:val="auto"/>
              </w:rPr>
            </w:pPr>
            <w:r>
              <w:rPr>
                <w:rFonts w:ascii="Arial" w:cs="Arial" w:eastAsia="Arial" w:hAnsi="Arial"/>
                <w:sz w:val="10"/>
                <w:szCs w:val="10"/>
                <w:b w:val="1"/>
                <w:bCs w:val="1"/>
                <w:color w:val="auto"/>
              </w:rPr>
              <w:t>Number</w:t>
            </w:r>
          </w:p>
        </w:tc>
        <w:tc>
          <w:tcPr>
            <w:tcW w:w="6520" w:type="dxa"/>
            <w:vAlign w:val="bottom"/>
            <w:tcBorders>
              <w:bottom w:val="single" w:sz="8" w:color="00B2E5"/>
            </w:tcBorders>
          </w:tcPr>
          <w:p>
            <w:pPr>
              <w:ind w:left="2940"/>
              <w:spacing w:after="0"/>
              <w:rPr>
                <w:sz w:val="20"/>
                <w:szCs w:val="20"/>
                <w:color w:val="auto"/>
              </w:rPr>
            </w:pPr>
            <w:r>
              <w:rPr>
                <w:rFonts w:ascii="Arial" w:cs="Arial" w:eastAsia="Arial" w:hAnsi="Arial"/>
                <w:sz w:val="10"/>
                <w:szCs w:val="10"/>
                <w:b w:val="1"/>
                <w:bCs w:val="1"/>
                <w:color w:val="auto"/>
              </w:rPr>
              <w:t>Description</w:t>
            </w:r>
          </w:p>
        </w:tc>
        <w:tc>
          <w:tcPr>
            <w:tcW w:w="1320" w:type="dxa"/>
            <w:vAlign w:val="bottom"/>
            <w:tcBorders>
              <w:bottom w:val="single" w:sz="8" w:color="00B2E5"/>
            </w:tcBorders>
          </w:tcPr>
          <w:p>
            <w:pPr>
              <w:jc w:val="center"/>
              <w:ind w:right="51"/>
              <w:spacing w:after="0"/>
              <w:rPr>
                <w:sz w:val="20"/>
                <w:szCs w:val="20"/>
                <w:color w:val="auto"/>
              </w:rPr>
            </w:pPr>
            <w:r>
              <w:rPr>
                <w:rFonts w:ascii="Arial" w:cs="Arial" w:eastAsia="Arial" w:hAnsi="Arial"/>
                <w:sz w:val="10"/>
                <w:szCs w:val="10"/>
                <w:b w:val="1"/>
                <w:bCs w:val="1"/>
                <w:color w:val="auto"/>
                <w:w w:val="97"/>
              </w:rPr>
              <w:t>Recommendation</w:t>
            </w:r>
          </w:p>
        </w:tc>
        <w:tc>
          <w:tcPr>
            <w:tcW w:w="580" w:type="dxa"/>
            <w:vAlign w:val="bottom"/>
            <w:tcBorders>
              <w:bottom w:val="single" w:sz="8" w:color="00B2E5"/>
            </w:tcBorders>
          </w:tcPr>
          <w:p>
            <w:pPr>
              <w:jc w:val="center"/>
              <w:ind w:left="51"/>
              <w:spacing w:after="0"/>
              <w:rPr>
                <w:sz w:val="20"/>
                <w:szCs w:val="20"/>
                <w:color w:val="auto"/>
              </w:rPr>
            </w:pPr>
            <w:r>
              <w:rPr>
                <w:rFonts w:ascii="Arial" w:cs="Arial" w:eastAsia="Arial" w:hAnsi="Arial"/>
                <w:sz w:val="10"/>
                <w:szCs w:val="10"/>
                <w:b w:val="1"/>
                <w:bCs w:val="1"/>
                <w:color w:val="auto"/>
                <w:w w:val="99"/>
              </w:rPr>
              <w:t>Reference</w:t>
            </w:r>
          </w:p>
        </w:tc>
      </w:tr>
      <w:tr>
        <w:trPr>
          <w:trHeight w:val="108"/>
        </w:trPr>
        <w:tc>
          <w:tcPr>
            <w:tcW w:w="1120" w:type="dxa"/>
            <w:vAlign w:val="bottom"/>
          </w:tcPr>
          <w:p>
            <w:pPr>
              <w:spacing w:after="0"/>
              <w:rPr>
                <w:sz w:val="9"/>
                <w:szCs w:val="9"/>
                <w:color w:val="auto"/>
              </w:rPr>
            </w:pPr>
          </w:p>
        </w:tc>
        <w:tc>
          <w:tcPr>
            <w:tcW w:w="620" w:type="dxa"/>
            <w:vAlign w:val="bottom"/>
            <w:tcBorders>
              <w:bottom w:val="single" w:sz="8" w:color="00B2E5"/>
              <w:right w:val="single" w:sz="8" w:color="00B2E5"/>
            </w:tcBorders>
          </w:tcPr>
          <w:p>
            <w:pPr>
              <w:spacing w:after="0" w:line="108" w:lineRule="exact"/>
              <w:rPr>
                <w:sz w:val="20"/>
                <w:szCs w:val="20"/>
                <w:color w:val="auto"/>
              </w:rPr>
            </w:pPr>
            <w:r>
              <w:rPr>
                <w:rFonts w:ascii="Arial" w:cs="Arial" w:eastAsia="Arial" w:hAnsi="Arial"/>
                <w:sz w:val="10"/>
                <w:szCs w:val="10"/>
                <w:color w:val="auto"/>
              </w:rPr>
              <w:t>1</w:t>
            </w:r>
          </w:p>
        </w:tc>
        <w:tc>
          <w:tcPr>
            <w:tcW w:w="6520" w:type="dxa"/>
            <w:vAlign w:val="bottom"/>
            <w:tcBorders>
              <w:bottom w:val="single" w:sz="8" w:color="00B2E5"/>
              <w:right w:val="single" w:sz="8" w:color="00B2E5"/>
            </w:tcBorders>
          </w:tcPr>
          <w:p>
            <w:pPr>
              <w:ind w:left="100"/>
              <w:spacing w:after="0" w:line="108" w:lineRule="exact"/>
              <w:rPr>
                <w:sz w:val="20"/>
                <w:szCs w:val="20"/>
                <w:color w:val="auto"/>
              </w:rPr>
            </w:pPr>
            <w:r>
              <w:rPr>
                <w:rFonts w:ascii="Arial" w:cs="Arial" w:eastAsia="Arial" w:hAnsi="Arial"/>
                <w:sz w:val="10"/>
                <w:szCs w:val="10"/>
                <w:color w:val="auto"/>
              </w:rPr>
              <w:t>Elect directors to serve until our 2022 Annual Meeting of Stockholders.</w:t>
            </w:r>
          </w:p>
        </w:tc>
        <w:tc>
          <w:tcPr>
            <w:tcW w:w="1320" w:type="dxa"/>
            <w:vAlign w:val="bottom"/>
            <w:tcBorders>
              <w:bottom w:val="single" w:sz="8" w:color="00B2E5"/>
              <w:right w:val="single" w:sz="8" w:color="00B2E5"/>
            </w:tcBorders>
          </w:tcPr>
          <w:p>
            <w:pPr>
              <w:jc w:val="center"/>
              <w:ind w:right="51"/>
              <w:spacing w:after="0" w:line="108" w:lineRule="exact"/>
              <w:rPr>
                <w:sz w:val="20"/>
                <w:szCs w:val="20"/>
                <w:color w:val="auto"/>
              </w:rPr>
            </w:pPr>
            <w:r>
              <w:rPr>
                <w:rFonts w:ascii="Arial" w:cs="Arial" w:eastAsia="Arial" w:hAnsi="Arial"/>
                <w:sz w:val="10"/>
                <w:szCs w:val="10"/>
                <w:color w:val="auto"/>
                <w:w w:val="96"/>
              </w:rPr>
              <w:t>FOR EACH</w:t>
            </w:r>
          </w:p>
        </w:tc>
        <w:tc>
          <w:tcPr>
            <w:tcW w:w="580" w:type="dxa"/>
            <w:vAlign w:val="bottom"/>
            <w:tcBorders>
              <w:bottom w:val="single" w:sz="8" w:color="00B2E5"/>
            </w:tcBorders>
          </w:tcPr>
          <w:p>
            <w:pPr>
              <w:jc w:val="center"/>
              <w:ind w:left="51"/>
              <w:spacing w:after="0" w:line="108" w:lineRule="exact"/>
              <w:rPr>
                <w:sz w:val="20"/>
                <w:szCs w:val="20"/>
                <w:color w:val="auto"/>
              </w:rPr>
            </w:pPr>
            <w:r>
              <w:rPr>
                <w:rFonts w:ascii="Arial" w:cs="Arial" w:eastAsia="Arial" w:hAnsi="Arial"/>
                <w:sz w:val="10"/>
                <w:szCs w:val="10"/>
                <w:color w:val="auto"/>
              </w:rPr>
              <w:t>14</w:t>
            </w:r>
          </w:p>
        </w:tc>
      </w:tr>
      <w:tr>
        <w:trPr>
          <w:trHeight w:val="98"/>
        </w:trPr>
        <w:tc>
          <w:tcPr>
            <w:tcW w:w="1120" w:type="dxa"/>
            <w:vAlign w:val="bottom"/>
          </w:tcPr>
          <w:p>
            <w:pPr>
              <w:spacing w:after="0"/>
              <w:rPr>
                <w:sz w:val="8"/>
                <w:szCs w:val="8"/>
                <w:color w:val="auto"/>
              </w:rPr>
            </w:pPr>
          </w:p>
        </w:tc>
        <w:tc>
          <w:tcPr>
            <w:tcW w:w="620" w:type="dxa"/>
            <w:vAlign w:val="bottom"/>
            <w:tcBorders>
              <w:bottom w:val="single" w:sz="8" w:color="00B2E5"/>
              <w:right w:val="single" w:sz="8" w:color="00B2E5"/>
            </w:tcBorders>
          </w:tcPr>
          <w:p>
            <w:pPr>
              <w:spacing w:after="0" w:line="99" w:lineRule="exact"/>
              <w:rPr>
                <w:sz w:val="20"/>
                <w:szCs w:val="20"/>
                <w:color w:val="auto"/>
              </w:rPr>
            </w:pPr>
            <w:r>
              <w:rPr>
                <w:rFonts w:ascii="Arial" w:cs="Arial" w:eastAsia="Arial" w:hAnsi="Arial"/>
                <w:sz w:val="10"/>
                <w:szCs w:val="10"/>
                <w:color w:val="auto"/>
              </w:rPr>
              <w:t>2</w:t>
            </w:r>
          </w:p>
        </w:tc>
        <w:tc>
          <w:tcPr>
            <w:tcW w:w="6520" w:type="dxa"/>
            <w:vAlign w:val="bottom"/>
            <w:tcBorders>
              <w:bottom w:val="single" w:sz="8" w:color="00B2E5"/>
              <w:right w:val="single" w:sz="8" w:color="00B2E5"/>
            </w:tcBorders>
          </w:tcPr>
          <w:p>
            <w:pPr>
              <w:ind w:left="100"/>
              <w:spacing w:after="0" w:line="99" w:lineRule="exact"/>
              <w:rPr>
                <w:sz w:val="20"/>
                <w:szCs w:val="20"/>
                <w:color w:val="auto"/>
              </w:rPr>
            </w:pPr>
            <w:r>
              <w:rPr>
                <w:rFonts w:ascii="Arial" w:cs="Arial" w:eastAsia="Arial" w:hAnsi="Arial"/>
                <w:sz w:val="10"/>
                <w:szCs w:val="10"/>
                <w:color w:val="auto"/>
              </w:rPr>
              <w:t>Ratify the selection of Ernst &amp; Young LLP as our independent registered public accounting firm for Fiscal Year 2021.</w:t>
            </w:r>
          </w:p>
        </w:tc>
        <w:tc>
          <w:tcPr>
            <w:tcW w:w="1320" w:type="dxa"/>
            <w:vAlign w:val="bottom"/>
            <w:tcBorders>
              <w:bottom w:val="single" w:sz="8" w:color="00B2E5"/>
              <w:right w:val="single" w:sz="8" w:color="00B2E5"/>
            </w:tcBorders>
          </w:tcPr>
          <w:p>
            <w:pPr>
              <w:jc w:val="center"/>
              <w:ind w:right="31"/>
              <w:spacing w:after="0" w:line="99" w:lineRule="exact"/>
              <w:rPr>
                <w:sz w:val="20"/>
                <w:szCs w:val="20"/>
                <w:color w:val="auto"/>
              </w:rPr>
            </w:pPr>
            <w:r>
              <w:rPr>
                <w:rFonts w:ascii="Arial" w:cs="Arial" w:eastAsia="Arial" w:hAnsi="Arial"/>
                <w:sz w:val="10"/>
                <w:szCs w:val="10"/>
                <w:color w:val="auto"/>
                <w:w w:val="94"/>
              </w:rPr>
              <w:t>FOR</w:t>
            </w:r>
          </w:p>
        </w:tc>
        <w:tc>
          <w:tcPr>
            <w:tcW w:w="580" w:type="dxa"/>
            <w:vAlign w:val="bottom"/>
            <w:tcBorders>
              <w:bottom w:val="single" w:sz="8" w:color="00B2E5"/>
            </w:tcBorders>
          </w:tcPr>
          <w:p>
            <w:pPr>
              <w:jc w:val="center"/>
              <w:ind w:left="51"/>
              <w:spacing w:after="0" w:line="99" w:lineRule="exact"/>
              <w:rPr>
                <w:sz w:val="20"/>
                <w:szCs w:val="20"/>
                <w:color w:val="auto"/>
              </w:rPr>
            </w:pPr>
            <w:r>
              <w:rPr>
                <w:rFonts w:ascii="Arial" w:cs="Arial" w:eastAsia="Arial" w:hAnsi="Arial"/>
                <w:sz w:val="10"/>
                <w:szCs w:val="10"/>
                <w:color w:val="auto"/>
              </w:rPr>
              <w:t>24</w:t>
            </w:r>
          </w:p>
        </w:tc>
      </w:tr>
      <w:tr>
        <w:trPr>
          <w:trHeight w:val="98"/>
        </w:trPr>
        <w:tc>
          <w:tcPr>
            <w:tcW w:w="1120" w:type="dxa"/>
            <w:vAlign w:val="bottom"/>
          </w:tcPr>
          <w:p>
            <w:pPr>
              <w:spacing w:after="0"/>
              <w:rPr>
                <w:sz w:val="8"/>
                <w:szCs w:val="8"/>
                <w:color w:val="auto"/>
              </w:rPr>
            </w:pPr>
          </w:p>
        </w:tc>
        <w:tc>
          <w:tcPr>
            <w:tcW w:w="620" w:type="dxa"/>
            <w:vAlign w:val="bottom"/>
            <w:tcBorders>
              <w:bottom w:val="single" w:sz="8" w:color="00B2E5"/>
              <w:right w:val="single" w:sz="8" w:color="00B2E5"/>
            </w:tcBorders>
          </w:tcPr>
          <w:p>
            <w:pPr>
              <w:spacing w:after="0" w:line="99" w:lineRule="exact"/>
              <w:rPr>
                <w:sz w:val="20"/>
                <w:szCs w:val="20"/>
                <w:color w:val="auto"/>
              </w:rPr>
            </w:pPr>
            <w:r>
              <w:rPr>
                <w:rFonts w:ascii="Arial" w:cs="Arial" w:eastAsia="Arial" w:hAnsi="Arial"/>
                <w:sz w:val="10"/>
                <w:szCs w:val="10"/>
                <w:color w:val="auto"/>
              </w:rPr>
              <w:t>3</w:t>
            </w:r>
          </w:p>
        </w:tc>
        <w:tc>
          <w:tcPr>
            <w:tcW w:w="6520" w:type="dxa"/>
            <w:vAlign w:val="bottom"/>
            <w:tcBorders>
              <w:bottom w:val="single" w:sz="8" w:color="00B2E5"/>
              <w:right w:val="single" w:sz="8" w:color="00B2E5"/>
            </w:tcBorders>
          </w:tcPr>
          <w:p>
            <w:pPr>
              <w:ind w:left="100"/>
              <w:spacing w:after="0" w:line="99" w:lineRule="exact"/>
              <w:rPr>
                <w:sz w:val="20"/>
                <w:szCs w:val="20"/>
                <w:color w:val="auto"/>
              </w:rPr>
            </w:pPr>
            <w:r>
              <w:rPr>
                <w:rFonts w:ascii="Arial" w:cs="Arial" w:eastAsia="Arial" w:hAnsi="Arial"/>
                <w:sz w:val="10"/>
                <w:szCs w:val="10"/>
                <w:color w:val="auto"/>
              </w:rPr>
              <w:t>Advisory vote to approve our executive compensation.</w:t>
            </w:r>
          </w:p>
        </w:tc>
        <w:tc>
          <w:tcPr>
            <w:tcW w:w="1320" w:type="dxa"/>
            <w:vAlign w:val="bottom"/>
            <w:tcBorders>
              <w:bottom w:val="single" w:sz="8" w:color="00B2E5"/>
              <w:right w:val="single" w:sz="8" w:color="00B2E5"/>
            </w:tcBorders>
          </w:tcPr>
          <w:p>
            <w:pPr>
              <w:jc w:val="center"/>
              <w:ind w:right="31"/>
              <w:spacing w:after="0" w:line="99" w:lineRule="exact"/>
              <w:rPr>
                <w:sz w:val="20"/>
                <w:szCs w:val="20"/>
                <w:color w:val="auto"/>
              </w:rPr>
            </w:pPr>
            <w:r>
              <w:rPr>
                <w:rFonts w:ascii="Arial" w:cs="Arial" w:eastAsia="Arial" w:hAnsi="Arial"/>
                <w:sz w:val="10"/>
                <w:szCs w:val="10"/>
                <w:color w:val="auto"/>
                <w:w w:val="94"/>
              </w:rPr>
              <w:t>FOR</w:t>
            </w:r>
          </w:p>
        </w:tc>
        <w:tc>
          <w:tcPr>
            <w:tcW w:w="580" w:type="dxa"/>
            <w:vAlign w:val="bottom"/>
            <w:tcBorders>
              <w:bottom w:val="single" w:sz="8" w:color="00B2E5"/>
            </w:tcBorders>
          </w:tcPr>
          <w:p>
            <w:pPr>
              <w:jc w:val="center"/>
              <w:ind w:left="51"/>
              <w:spacing w:after="0" w:line="99" w:lineRule="exact"/>
              <w:rPr>
                <w:sz w:val="20"/>
                <w:szCs w:val="20"/>
                <w:color w:val="auto"/>
              </w:rPr>
            </w:pPr>
            <w:r>
              <w:rPr>
                <w:rFonts w:ascii="Arial" w:cs="Arial" w:eastAsia="Arial" w:hAnsi="Arial"/>
                <w:sz w:val="10"/>
                <w:szCs w:val="10"/>
                <w:color w:val="auto"/>
              </w:rPr>
              <w:t>26</w:t>
            </w:r>
          </w:p>
        </w:tc>
      </w:tr>
      <w:tr>
        <w:trPr>
          <w:trHeight w:val="98"/>
        </w:trPr>
        <w:tc>
          <w:tcPr>
            <w:tcW w:w="1120" w:type="dxa"/>
            <w:vAlign w:val="bottom"/>
          </w:tcPr>
          <w:p>
            <w:pPr>
              <w:spacing w:after="0"/>
              <w:rPr>
                <w:sz w:val="8"/>
                <w:szCs w:val="8"/>
                <w:color w:val="auto"/>
              </w:rPr>
            </w:pPr>
          </w:p>
        </w:tc>
        <w:tc>
          <w:tcPr>
            <w:tcW w:w="620" w:type="dxa"/>
            <w:vAlign w:val="bottom"/>
            <w:tcBorders>
              <w:bottom w:val="single" w:sz="8" w:color="00B2E5"/>
              <w:right w:val="single" w:sz="8" w:color="00B2E5"/>
            </w:tcBorders>
          </w:tcPr>
          <w:p>
            <w:pPr>
              <w:spacing w:after="0" w:line="99" w:lineRule="exact"/>
              <w:rPr>
                <w:sz w:val="20"/>
                <w:szCs w:val="20"/>
                <w:color w:val="auto"/>
              </w:rPr>
            </w:pPr>
            <w:r>
              <w:rPr>
                <w:rFonts w:ascii="Arial" w:cs="Arial" w:eastAsia="Arial" w:hAnsi="Arial"/>
                <w:sz w:val="10"/>
                <w:szCs w:val="10"/>
                <w:color w:val="auto"/>
              </w:rPr>
              <w:t>4</w:t>
            </w:r>
          </w:p>
        </w:tc>
        <w:tc>
          <w:tcPr>
            <w:tcW w:w="6520" w:type="dxa"/>
            <w:vAlign w:val="bottom"/>
            <w:tcBorders>
              <w:bottom w:val="single" w:sz="8" w:color="00B2E5"/>
              <w:right w:val="single" w:sz="8" w:color="00B2E5"/>
            </w:tcBorders>
          </w:tcPr>
          <w:p>
            <w:pPr>
              <w:ind w:left="100"/>
              <w:spacing w:after="0" w:line="99" w:lineRule="exact"/>
              <w:rPr>
                <w:sz w:val="20"/>
                <w:szCs w:val="20"/>
                <w:color w:val="auto"/>
              </w:rPr>
            </w:pPr>
            <w:r>
              <w:rPr>
                <w:rFonts w:ascii="Arial" w:cs="Arial" w:eastAsia="Arial" w:hAnsi="Arial"/>
                <w:sz w:val="10"/>
                <w:szCs w:val="10"/>
                <w:color w:val="auto"/>
              </w:rPr>
              <w:t>Stockholder proposal regarding lobbying disclosure.</w:t>
            </w:r>
          </w:p>
        </w:tc>
        <w:tc>
          <w:tcPr>
            <w:tcW w:w="1320" w:type="dxa"/>
            <w:vAlign w:val="bottom"/>
            <w:tcBorders>
              <w:bottom w:val="single" w:sz="8" w:color="00B2E5"/>
              <w:right w:val="single" w:sz="8" w:color="00B2E5"/>
            </w:tcBorders>
          </w:tcPr>
          <w:p>
            <w:pPr>
              <w:jc w:val="center"/>
              <w:ind w:right="51"/>
              <w:spacing w:after="0" w:line="99" w:lineRule="exact"/>
              <w:rPr>
                <w:sz w:val="20"/>
                <w:szCs w:val="20"/>
                <w:color w:val="auto"/>
              </w:rPr>
            </w:pPr>
            <w:r>
              <w:rPr>
                <w:rFonts w:ascii="Arial" w:cs="Arial" w:eastAsia="Arial" w:hAnsi="Arial"/>
                <w:sz w:val="10"/>
                <w:szCs w:val="10"/>
                <w:color w:val="auto"/>
                <w:w w:val="95"/>
              </w:rPr>
              <w:t>AGAINST</w:t>
            </w:r>
          </w:p>
        </w:tc>
        <w:tc>
          <w:tcPr>
            <w:tcW w:w="580" w:type="dxa"/>
            <w:vAlign w:val="bottom"/>
            <w:tcBorders>
              <w:bottom w:val="single" w:sz="8" w:color="00B2E5"/>
            </w:tcBorders>
          </w:tcPr>
          <w:p>
            <w:pPr>
              <w:jc w:val="center"/>
              <w:ind w:left="51"/>
              <w:spacing w:after="0" w:line="99" w:lineRule="exact"/>
              <w:rPr>
                <w:sz w:val="20"/>
                <w:szCs w:val="20"/>
                <w:color w:val="auto"/>
              </w:rPr>
            </w:pPr>
            <w:r>
              <w:rPr>
                <w:rFonts w:ascii="Arial" w:cs="Arial" w:eastAsia="Arial" w:hAnsi="Arial"/>
                <w:sz w:val="10"/>
                <w:szCs w:val="10"/>
                <w:color w:val="auto"/>
              </w:rPr>
              <w:t>27</w:t>
            </w:r>
          </w:p>
        </w:tc>
      </w:tr>
      <w:tr>
        <w:trPr>
          <w:trHeight w:val="317"/>
        </w:trPr>
        <w:tc>
          <w:tcPr>
            <w:tcW w:w="1740" w:type="dxa"/>
            <w:vAlign w:val="bottom"/>
            <w:gridSpan w:val="2"/>
          </w:tcPr>
          <w:p>
            <w:pPr>
              <w:spacing w:after="0"/>
              <w:rPr>
                <w:sz w:val="20"/>
                <w:szCs w:val="20"/>
                <w:color w:val="auto"/>
              </w:rPr>
            </w:pPr>
            <w:r>
              <w:rPr>
                <w:rFonts w:ascii="Arial" w:cs="Arial" w:eastAsia="Arial" w:hAnsi="Arial"/>
                <w:sz w:val="15"/>
                <w:szCs w:val="15"/>
                <w:b w:val="1"/>
                <w:bCs w:val="1"/>
                <w:color w:val="00B2E5"/>
              </w:rPr>
              <w:t>How to Vote</w:t>
            </w:r>
          </w:p>
        </w:tc>
        <w:tc>
          <w:tcPr>
            <w:tcW w:w="6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78" w:lineRule="exact"/>
        <w:rPr>
          <w:sz w:val="20"/>
          <w:szCs w:val="20"/>
          <w:color w:val="auto"/>
        </w:rPr>
      </w:pPr>
    </w:p>
    <w:tbl>
      <w:tblPr>
        <w:tblLayout w:type="fixed"/>
        <w:tblInd w:w="680" w:type="dxa"/>
        <w:tblCellMar>
          <w:top w:w="0" w:type="dxa"/>
          <w:left w:w="0" w:type="dxa"/>
          <w:bottom w:w="0" w:type="dxa"/>
          <w:right w:w="0" w:type="dxa"/>
        </w:tblCellMar>
      </w:tblPr>
      <w:tr>
        <w:trPr>
          <w:trHeight w:val="142"/>
        </w:trPr>
        <w:tc>
          <w:tcPr>
            <w:tcW w:w="3280" w:type="dxa"/>
            <w:vAlign w:val="bottom"/>
          </w:tcPr>
          <w:p>
            <w:pPr>
              <w:spacing w:after="0"/>
              <w:rPr>
                <w:sz w:val="20"/>
                <w:szCs w:val="20"/>
                <w:color w:val="auto"/>
              </w:rPr>
            </w:pPr>
            <w:r>
              <w:rPr>
                <w:rFonts w:ascii="Arial" w:cs="Arial" w:eastAsia="Arial" w:hAnsi="Arial"/>
                <w:sz w:val="12"/>
                <w:szCs w:val="12"/>
                <w:b w:val="1"/>
                <w:bCs w:val="1"/>
                <w:color w:val="00B2E5"/>
              </w:rPr>
              <w:t>Vote Online</w:t>
            </w:r>
          </w:p>
        </w:tc>
        <w:tc>
          <w:tcPr>
            <w:tcW w:w="3920" w:type="dxa"/>
            <w:vAlign w:val="bottom"/>
          </w:tcPr>
          <w:p>
            <w:pPr>
              <w:ind w:left="560"/>
              <w:spacing w:after="0"/>
              <w:rPr>
                <w:sz w:val="20"/>
                <w:szCs w:val="20"/>
                <w:color w:val="auto"/>
              </w:rPr>
            </w:pPr>
            <w:r>
              <w:rPr>
                <w:rFonts w:ascii="Arial" w:cs="Arial" w:eastAsia="Arial" w:hAnsi="Arial"/>
                <w:sz w:val="12"/>
                <w:szCs w:val="12"/>
                <w:b w:val="1"/>
                <w:bCs w:val="1"/>
                <w:color w:val="00B2E5"/>
              </w:rPr>
              <w:t>Vote by Phone</w:t>
            </w:r>
          </w:p>
        </w:tc>
        <w:tc>
          <w:tcPr>
            <w:tcW w:w="3260" w:type="dxa"/>
            <w:vAlign w:val="bottom"/>
          </w:tcPr>
          <w:p>
            <w:pPr>
              <w:ind w:left="480"/>
              <w:spacing w:after="0"/>
              <w:rPr>
                <w:sz w:val="20"/>
                <w:szCs w:val="20"/>
                <w:color w:val="auto"/>
              </w:rPr>
            </w:pPr>
            <w:r>
              <w:rPr>
                <w:rFonts w:ascii="Arial" w:cs="Arial" w:eastAsia="Arial" w:hAnsi="Arial"/>
                <w:sz w:val="12"/>
                <w:szCs w:val="12"/>
                <w:b w:val="1"/>
                <w:bCs w:val="1"/>
                <w:color w:val="00B2E5"/>
              </w:rPr>
              <w:t>Vote by Mail</w:t>
            </w:r>
          </w:p>
        </w:tc>
      </w:tr>
      <w:tr>
        <w:trPr>
          <w:trHeight w:val="109"/>
        </w:trPr>
        <w:tc>
          <w:tcPr>
            <w:tcW w:w="3280" w:type="dxa"/>
            <w:vAlign w:val="bottom"/>
          </w:tcPr>
          <w:p>
            <w:pPr>
              <w:spacing w:after="0" w:line="110" w:lineRule="exact"/>
              <w:rPr>
                <w:sz w:val="20"/>
                <w:szCs w:val="20"/>
                <w:color w:val="auto"/>
              </w:rPr>
            </w:pPr>
            <w:r>
              <w:rPr>
                <w:rFonts w:ascii="Arial" w:cs="Arial" w:eastAsia="Arial" w:hAnsi="Arial"/>
                <w:sz w:val="10"/>
                <w:szCs w:val="10"/>
                <w:color w:val="auto"/>
              </w:rPr>
              <w:t>You can vote your shares online by following the instructions on</w:t>
            </w:r>
          </w:p>
        </w:tc>
        <w:tc>
          <w:tcPr>
            <w:tcW w:w="3920" w:type="dxa"/>
            <w:vAlign w:val="bottom"/>
          </w:tcPr>
          <w:p>
            <w:pPr>
              <w:ind w:left="560"/>
              <w:spacing w:after="0" w:line="110" w:lineRule="exact"/>
              <w:rPr>
                <w:sz w:val="20"/>
                <w:szCs w:val="20"/>
                <w:color w:val="auto"/>
              </w:rPr>
            </w:pPr>
            <w:r>
              <w:rPr>
                <w:rFonts w:ascii="Arial" w:cs="Arial" w:eastAsia="Arial" w:hAnsi="Arial"/>
                <w:sz w:val="10"/>
                <w:szCs w:val="10"/>
                <w:color w:val="auto"/>
              </w:rPr>
              <w:t>You can vote your shares by phone by following the instructions on</w:t>
            </w:r>
          </w:p>
        </w:tc>
        <w:tc>
          <w:tcPr>
            <w:tcW w:w="3260" w:type="dxa"/>
            <w:vAlign w:val="bottom"/>
          </w:tcPr>
          <w:p>
            <w:pPr>
              <w:ind w:left="480"/>
              <w:spacing w:after="0" w:line="110" w:lineRule="exact"/>
              <w:rPr>
                <w:sz w:val="20"/>
                <w:szCs w:val="20"/>
                <w:color w:val="auto"/>
              </w:rPr>
            </w:pPr>
            <w:r>
              <w:rPr>
                <w:rFonts w:ascii="Arial" w:cs="Arial" w:eastAsia="Arial" w:hAnsi="Arial"/>
                <w:sz w:val="10"/>
                <w:szCs w:val="10"/>
                <w:color w:val="auto"/>
                <w:w w:val="96"/>
              </w:rPr>
              <w:t>You can vote your shares by mail by requesting a printed copy of</w:t>
            </w:r>
          </w:p>
        </w:tc>
      </w:tr>
      <w:tr>
        <w:trPr>
          <w:trHeight w:val="109"/>
        </w:trPr>
        <w:tc>
          <w:tcPr>
            <w:tcW w:w="3280" w:type="dxa"/>
            <w:vAlign w:val="bottom"/>
          </w:tcPr>
          <w:p>
            <w:pPr>
              <w:spacing w:after="0" w:line="110" w:lineRule="exact"/>
              <w:rPr>
                <w:sz w:val="20"/>
                <w:szCs w:val="20"/>
                <w:color w:val="auto"/>
              </w:rPr>
            </w:pPr>
            <w:r>
              <w:rPr>
                <w:rFonts w:ascii="Arial" w:cs="Arial" w:eastAsia="Arial" w:hAnsi="Arial"/>
                <w:sz w:val="10"/>
                <w:szCs w:val="10"/>
                <w:color w:val="auto"/>
              </w:rPr>
              <w:t>your proxy card</w:t>
            </w:r>
          </w:p>
        </w:tc>
        <w:tc>
          <w:tcPr>
            <w:tcW w:w="3920" w:type="dxa"/>
            <w:vAlign w:val="bottom"/>
          </w:tcPr>
          <w:p>
            <w:pPr>
              <w:ind w:left="560"/>
              <w:spacing w:after="0" w:line="110" w:lineRule="exact"/>
              <w:rPr>
                <w:sz w:val="20"/>
                <w:szCs w:val="20"/>
                <w:color w:val="auto"/>
              </w:rPr>
            </w:pPr>
            <w:r>
              <w:rPr>
                <w:rFonts w:ascii="Arial" w:cs="Arial" w:eastAsia="Arial" w:hAnsi="Arial"/>
                <w:sz w:val="10"/>
                <w:szCs w:val="10"/>
                <w:color w:val="auto"/>
              </w:rPr>
              <w:t>your proxy card (1-800-652-8683)—or scan the QR code:</w:t>
            </w:r>
          </w:p>
        </w:tc>
        <w:tc>
          <w:tcPr>
            <w:tcW w:w="3260" w:type="dxa"/>
            <w:vAlign w:val="bottom"/>
          </w:tcPr>
          <w:p>
            <w:pPr>
              <w:ind w:left="480"/>
              <w:spacing w:after="0" w:line="110" w:lineRule="exact"/>
              <w:rPr>
                <w:sz w:val="20"/>
                <w:szCs w:val="20"/>
                <w:color w:val="auto"/>
              </w:rPr>
            </w:pPr>
            <w:r>
              <w:rPr>
                <w:rFonts w:ascii="Arial" w:cs="Arial" w:eastAsia="Arial" w:hAnsi="Arial"/>
                <w:sz w:val="10"/>
                <w:szCs w:val="10"/>
                <w:color w:val="auto"/>
                <w:w w:val="96"/>
              </w:rPr>
              <w:t>the proxy materials and signing, dating and mailing the enclosed</w:t>
            </w:r>
          </w:p>
        </w:tc>
      </w:tr>
      <w:tr>
        <w:trPr>
          <w:trHeight w:val="121"/>
        </w:trPr>
        <w:tc>
          <w:tcPr>
            <w:tcW w:w="3280" w:type="dxa"/>
            <w:vAlign w:val="bottom"/>
          </w:tcPr>
          <w:p>
            <w:pPr>
              <w:spacing w:after="0"/>
              <w:rPr>
                <w:sz w:val="20"/>
                <w:szCs w:val="20"/>
                <w:color w:val="auto"/>
              </w:rPr>
            </w:pPr>
            <w:r>
              <w:rPr>
                <w:rFonts w:ascii="Arial" w:cs="Arial" w:eastAsia="Arial" w:hAnsi="Arial"/>
                <w:sz w:val="10"/>
                <w:szCs w:val="10"/>
                <w:color w:val="auto"/>
              </w:rPr>
              <w:t>(www.envisionreports.com/ACM).</w:t>
            </w:r>
          </w:p>
        </w:tc>
        <w:tc>
          <w:tcPr>
            <w:tcW w:w="3920" w:type="dxa"/>
            <w:vAlign w:val="bottom"/>
          </w:tcPr>
          <w:p>
            <w:pPr>
              <w:spacing w:after="0"/>
              <w:rPr>
                <w:sz w:val="10"/>
                <w:szCs w:val="10"/>
                <w:color w:val="auto"/>
              </w:rPr>
            </w:pPr>
          </w:p>
        </w:tc>
        <w:tc>
          <w:tcPr>
            <w:tcW w:w="3260" w:type="dxa"/>
            <w:vAlign w:val="bottom"/>
          </w:tcPr>
          <w:p>
            <w:pPr>
              <w:ind w:left="480"/>
              <w:spacing w:after="0"/>
              <w:rPr>
                <w:sz w:val="20"/>
                <w:szCs w:val="20"/>
                <w:color w:val="auto"/>
              </w:rPr>
            </w:pPr>
            <w:r>
              <w:rPr>
                <w:rFonts w:ascii="Arial" w:cs="Arial" w:eastAsia="Arial" w:hAnsi="Arial"/>
                <w:sz w:val="10"/>
                <w:szCs w:val="10"/>
                <w:color w:val="auto"/>
              </w:rPr>
              <w:t>proxy card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-296545</wp:posOffset>
            </wp:positionV>
            <wp:extent cx="173355" cy="121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3355" cy="121285"/>
                    </a:xfrm>
                    <a:prstGeom prst="rect">
                      <a:avLst/>
                    </a:prstGeom>
                    <a:noFill/>
                  </pic:spPr>
                </pic:pic>
              </a:graphicData>
            </a:graphic>
          </wp:anchor>
        </w:drawing>
        <w:drawing>
          <wp:anchor simplePos="0" relativeHeight="251657728" behindDoc="1" locked="0" layoutInCell="0" allowOverlap="1">
            <wp:simplePos x="0" y="0"/>
            <wp:positionH relativeFrom="column">
              <wp:posOffset>2640330</wp:posOffset>
            </wp:positionH>
            <wp:positionV relativeFrom="paragraph">
              <wp:posOffset>-296545</wp:posOffset>
            </wp:positionV>
            <wp:extent cx="104140" cy="161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4140" cy="16192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-296545</wp:posOffset>
            </wp:positionV>
            <wp:extent cx="127635" cy="927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635" cy="92710"/>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-1270</wp:posOffset>
            </wp:positionV>
            <wp:extent cx="243205" cy="2432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3205" cy="243205"/>
                    </a:xfrm>
                    <a:prstGeom prst="rect">
                      <a:avLst/>
                    </a:prstGeom>
                    <a:noFill/>
                  </pic:spPr>
                </pic:pic>
              </a:graphicData>
            </a:graphic>
          </wp:anchor>
        </w:drawing>
      </w:r>
    </w:p>
    <w:p>
      <w:pPr>
        <w:jc w:val="center"/>
        <w:ind w:left="8360"/>
        <w:spacing w:after="0" w:line="228" w:lineRule="auto"/>
        <w:rPr>
          <w:sz w:val="20"/>
          <w:szCs w:val="20"/>
          <w:color w:val="auto"/>
        </w:rPr>
      </w:pPr>
      <w:r>
        <w:rPr>
          <w:rFonts w:ascii="Arial" w:cs="Arial" w:eastAsia="Arial" w:hAnsi="Arial"/>
          <w:sz w:val="10"/>
          <w:szCs w:val="10"/>
          <w:color w:val="auto"/>
        </w:rPr>
        <w:t>AECOM</w:t>
      </w:r>
    </w:p>
    <w:p>
      <w:pPr>
        <w:jc w:val="center"/>
        <w:ind w:left="8360"/>
        <w:spacing w:after="0" w:line="228" w:lineRule="auto"/>
        <w:rPr>
          <w:sz w:val="20"/>
          <w:szCs w:val="20"/>
          <w:color w:val="auto"/>
        </w:rPr>
      </w:pPr>
      <w:r>
        <w:rPr>
          <w:rFonts w:ascii="Arial" w:cs="Arial" w:eastAsia="Arial" w:hAnsi="Arial"/>
          <w:sz w:val="10"/>
          <w:szCs w:val="10"/>
          <w:color w:val="auto"/>
        </w:rPr>
        <w:t>300 South Grand Avenue, 9th Floor</w:t>
      </w:r>
    </w:p>
    <w:p>
      <w:pPr>
        <w:jc w:val="center"/>
        <w:ind w:left="8360"/>
        <w:spacing w:after="0" w:line="228" w:lineRule="auto"/>
        <w:rPr>
          <w:sz w:val="20"/>
          <w:szCs w:val="20"/>
          <w:color w:val="auto"/>
        </w:rPr>
      </w:pPr>
      <w:r>
        <w:rPr>
          <w:rFonts w:ascii="Arial" w:cs="Arial" w:eastAsia="Arial" w:hAnsi="Arial"/>
          <w:sz w:val="10"/>
          <w:szCs w:val="10"/>
          <w:color w:val="auto"/>
        </w:rPr>
        <w:t>Los Angeles, CA 90071</w:t>
      </w:r>
    </w:p>
    <w:p>
      <w:pPr>
        <w:jc w:val="center"/>
        <w:ind w:left="8360"/>
        <w:spacing w:after="0"/>
        <w:rPr>
          <w:sz w:val="20"/>
          <w:szCs w:val="20"/>
          <w:color w:val="auto"/>
        </w:rPr>
      </w:pPr>
      <w:r>
        <w:rPr>
          <w:rFonts w:ascii="Arial" w:cs="Arial" w:eastAsia="Arial" w:hAnsi="Arial"/>
          <w:sz w:val="10"/>
          <w:szCs w:val="10"/>
          <w:color w:val="auto"/>
        </w:rPr>
        <w:t>Attn: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717677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00B2E5"/>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17677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71"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Whether or not you plan to attend the 2021 Annual Meeting, we request that you vote (a) by Internet, (b) by telephone or (c) by requesting a printed copy of the proxy materials and using the proxy card or voting instruction card enclosed therein as promptly as possible in order to ensure your representation at the 2021 Annual Meeting.</w:t>
      </w:r>
    </w:p>
    <w:p>
      <w:pPr>
        <w:spacing w:after="0" w:line="104"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You may revoke your proxy at any time before it is exercised by giving our Corporate Secretary written notice of revocation, submitting a later-dated proxy by Internet, telephone or mail or by attending the 2021 Annual Meeting and voting.</w:t>
      </w:r>
    </w:p>
    <w:p>
      <w:pPr>
        <w:spacing w:after="0" w:line="104" w:lineRule="exact"/>
        <w:rPr>
          <w:sz w:val="20"/>
          <w:szCs w:val="20"/>
          <w:color w:val="auto"/>
        </w:rPr>
      </w:pPr>
    </w:p>
    <w:p>
      <w:pPr>
        <w:jc w:val="center"/>
        <w:ind w:right="100"/>
        <w:spacing w:after="0"/>
        <w:rPr>
          <w:sz w:val="20"/>
          <w:szCs w:val="20"/>
          <w:color w:val="auto"/>
        </w:rPr>
      </w:pPr>
      <w:r>
        <w:rPr>
          <w:rFonts w:ascii="Arial" w:cs="Arial" w:eastAsia="Arial" w:hAnsi="Arial"/>
          <w:sz w:val="11"/>
          <w:szCs w:val="11"/>
          <w:color w:val="auto"/>
        </w:rPr>
        <w:t>Please note, however, that if your shares are held of record by a broker, bank or other nominee and you wish to vote at the 2021 Annual Meeting, you must obtain from the record holder a proxy issued in your name.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Our Current Board of Directors</w:t>
      </w:r>
    </w:p>
    <w:p>
      <w:pPr>
        <w:spacing w:after="0" w:line="147" w:lineRule="exact"/>
        <w:rPr>
          <w:sz w:val="20"/>
          <w:szCs w:val="20"/>
          <w:color w:val="auto"/>
        </w:rPr>
      </w:pPr>
    </w:p>
    <w:tbl>
      <w:tblPr>
        <w:tblLayout w:type="fixed"/>
        <w:tblInd w:w="13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jc w:val="center"/>
              <w:ind w:right="31"/>
              <w:spacing w:after="0"/>
              <w:rPr>
                <w:sz w:val="20"/>
                <w:szCs w:val="20"/>
                <w:color w:val="auto"/>
              </w:rPr>
            </w:pPr>
            <w:r>
              <w:rPr>
                <w:rFonts w:ascii="Arial" w:cs="Arial" w:eastAsia="Arial" w:hAnsi="Arial"/>
                <w:sz w:val="10"/>
                <w:szCs w:val="10"/>
                <w:b w:val="1"/>
                <w:bCs w:val="1"/>
                <w:color w:val="auto"/>
                <w:w w:val="98"/>
              </w:rPr>
              <w:t>Director</w:t>
            </w:r>
          </w:p>
        </w:tc>
        <w:tc>
          <w:tcPr>
            <w:tcW w:w="4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center"/>
              <w:ind w:left="11"/>
              <w:spacing w:after="0"/>
              <w:rPr>
                <w:sz w:val="20"/>
                <w:szCs w:val="20"/>
                <w:color w:val="auto"/>
              </w:rPr>
            </w:pPr>
            <w:r>
              <w:rPr>
                <w:rFonts w:ascii="Arial" w:cs="Arial" w:eastAsia="Arial" w:hAnsi="Arial"/>
                <w:sz w:val="10"/>
                <w:szCs w:val="10"/>
                <w:b w:val="1"/>
                <w:bCs w:val="1"/>
                <w:color w:val="auto"/>
                <w:w w:val="96"/>
              </w:rPr>
              <w:t>Committee</w:t>
            </w:r>
          </w:p>
        </w:tc>
      </w:tr>
      <w:tr>
        <w:trPr>
          <w:trHeight w:val="118"/>
        </w:trPr>
        <w:tc>
          <w:tcPr>
            <w:tcW w:w="1260" w:type="dxa"/>
            <w:vAlign w:val="bottom"/>
            <w:tcBorders>
              <w:bottom w:val="single" w:sz="8" w:color="00B2E5"/>
            </w:tcBorders>
            <w:gridSpan w:val="2"/>
          </w:tcPr>
          <w:p>
            <w:pPr>
              <w:spacing w:after="0"/>
              <w:rPr>
                <w:sz w:val="20"/>
                <w:szCs w:val="20"/>
                <w:color w:val="auto"/>
              </w:rPr>
            </w:pPr>
            <w:r>
              <w:rPr>
                <w:rFonts w:ascii="Arial" w:cs="Arial" w:eastAsia="Arial" w:hAnsi="Arial"/>
                <w:sz w:val="10"/>
                <w:szCs w:val="10"/>
                <w:b w:val="1"/>
                <w:bCs w:val="1"/>
                <w:color w:val="auto"/>
              </w:rPr>
              <w:t>Name</w:t>
            </w:r>
          </w:p>
        </w:tc>
        <w:tc>
          <w:tcPr>
            <w:tcW w:w="480" w:type="dxa"/>
            <w:vAlign w:val="bottom"/>
            <w:tcBorders>
              <w:bottom w:val="single" w:sz="8" w:color="00B2E5"/>
            </w:tcBorders>
          </w:tcPr>
          <w:p>
            <w:pPr>
              <w:jc w:val="right"/>
              <w:ind w:right="151"/>
              <w:spacing w:after="0"/>
              <w:rPr>
                <w:sz w:val="20"/>
                <w:szCs w:val="20"/>
                <w:color w:val="auto"/>
              </w:rPr>
            </w:pPr>
            <w:r>
              <w:rPr>
                <w:rFonts w:ascii="Arial" w:cs="Arial" w:eastAsia="Arial" w:hAnsi="Arial"/>
                <w:sz w:val="10"/>
                <w:szCs w:val="10"/>
                <w:b w:val="1"/>
                <w:bCs w:val="1"/>
                <w:color w:val="auto"/>
              </w:rPr>
              <w:t>Age</w:t>
            </w:r>
          </w:p>
        </w:tc>
        <w:tc>
          <w:tcPr>
            <w:tcW w:w="660" w:type="dxa"/>
            <w:vAlign w:val="bottom"/>
            <w:tcBorders>
              <w:bottom w:val="single" w:sz="8" w:color="00B2E5"/>
            </w:tcBorders>
          </w:tcPr>
          <w:p>
            <w:pPr>
              <w:jc w:val="center"/>
              <w:ind w:right="31"/>
              <w:spacing w:after="0"/>
              <w:rPr>
                <w:sz w:val="20"/>
                <w:szCs w:val="20"/>
                <w:color w:val="auto"/>
              </w:rPr>
            </w:pPr>
            <w:r>
              <w:rPr>
                <w:rFonts w:ascii="Arial" w:cs="Arial" w:eastAsia="Arial" w:hAnsi="Arial"/>
                <w:sz w:val="10"/>
                <w:szCs w:val="10"/>
                <w:b w:val="1"/>
                <w:bCs w:val="1"/>
                <w:color w:val="auto"/>
                <w:w w:val="97"/>
              </w:rPr>
              <w:t>Since</w:t>
            </w:r>
          </w:p>
        </w:tc>
        <w:tc>
          <w:tcPr>
            <w:tcW w:w="4560" w:type="dxa"/>
            <w:vAlign w:val="bottom"/>
            <w:tcBorders>
              <w:bottom w:val="single" w:sz="8" w:color="00B2E5"/>
            </w:tcBorders>
          </w:tcPr>
          <w:p>
            <w:pPr>
              <w:ind w:left="1500"/>
              <w:spacing w:after="0"/>
              <w:rPr>
                <w:sz w:val="20"/>
                <w:szCs w:val="20"/>
                <w:color w:val="auto"/>
              </w:rPr>
            </w:pPr>
            <w:r>
              <w:rPr>
                <w:rFonts w:ascii="Arial" w:cs="Arial" w:eastAsia="Arial" w:hAnsi="Arial"/>
                <w:sz w:val="10"/>
                <w:szCs w:val="10"/>
                <w:b w:val="1"/>
                <w:bCs w:val="1"/>
                <w:color w:val="auto"/>
              </w:rPr>
              <w:t>Primary (or Former) Occupation</w:t>
            </w:r>
          </w:p>
        </w:tc>
        <w:tc>
          <w:tcPr>
            <w:tcW w:w="740" w:type="dxa"/>
            <w:vAlign w:val="bottom"/>
            <w:tcBorders>
              <w:bottom w:val="single" w:sz="8" w:color="00B2E5"/>
            </w:tcBorders>
          </w:tcPr>
          <w:p>
            <w:pPr>
              <w:jc w:val="center"/>
              <w:spacing w:after="0"/>
              <w:rPr>
                <w:sz w:val="20"/>
                <w:szCs w:val="20"/>
                <w:color w:val="auto"/>
              </w:rPr>
            </w:pPr>
            <w:r>
              <w:rPr>
                <w:rFonts w:ascii="Arial" w:cs="Arial" w:eastAsia="Arial" w:hAnsi="Arial"/>
                <w:sz w:val="10"/>
                <w:szCs w:val="10"/>
                <w:b w:val="1"/>
                <w:bCs w:val="1"/>
                <w:color w:val="auto"/>
                <w:w w:val="97"/>
              </w:rPr>
              <w:t>Independent</w:t>
            </w:r>
          </w:p>
        </w:tc>
        <w:tc>
          <w:tcPr>
            <w:tcW w:w="680" w:type="dxa"/>
            <w:vAlign w:val="bottom"/>
            <w:tcBorders>
              <w:bottom w:val="single" w:sz="8" w:color="00B2E5"/>
            </w:tcBorders>
          </w:tcPr>
          <w:p>
            <w:pPr>
              <w:jc w:val="center"/>
              <w:spacing w:after="0"/>
              <w:rPr>
                <w:sz w:val="20"/>
                <w:szCs w:val="20"/>
                <w:color w:val="auto"/>
              </w:rPr>
            </w:pPr>
            <w:r>
              <w:rPr>
                <w:rFonts w:ascii="Arial" w:cs="Arial" w:eastAsia="Arial" w:hAnsi="Arial"/>
                <w:sz w:val="10"/>
                <w:szCs w:val="10"/>
                <w:b w:val="1"/>
                <w:bCs w:val="1"/>
                <w:color w:val="auto"/>
                <w:w w:val="99"/>
              </w:rPr>
              <w:t>Memberships</w:t>
            </w:r>
          </w:p>
        </w:tc>
      </w:tr>
      <w:tr>
        <w:trPr>
          <w:trHeight w:val="99"/>
        </w:trPr>
        <w:tc>
          <w:tcPr>
            <w:tcW w:w="1260" w:type="dxa"/>
            <w:vAlign w:val="bottom"/>
            <w:tcBorders>
              <w:right w:val="single" w:sz="8" w:color="00B2E5"/>
            </w:tcBorders>
            <w:gridSpan w:val="2"/>
          </w:tcPr>
          <w:p>
            <w:pPr>
              <w:spacing w:after="0" w:line="99" w:lineRule="exact"/>
              <w:rPr>
                <w:sz w:val="20"/>
                <w:szCs w:val="20"/>
                <w:color w:val="auto"/>
              </w:rPr>
            </w:pPr>
            <w:r>
              <w:rPr>
                <w:rFonts w:ascii="Arial" w:cs="Arial" w:eastAsia="Arial" w:hAnsi="Arial"/>
                <w:sz w:val="10"/>
                <w:szCs w:val="10"/>
                <w:color w:val="auto"/>
              </w:rPr>
              <w:t>Bradley W. Buss</w:t>
            </w:r>
          </w:p>
        </w:tc>
        <w:tc>
          <w:tcPr>
            <w:tcW w:w="480" w:type="dxa"/>
            <w:vAlign w:val="bottom"/>
            <w:tcBorders>
              <w:right w:val="single" w:sz="8" w:color="00B2E5"/>
            </w:tcBorders>
          </w:tcPr>
          <w:p>
            <w:pPr>
              <w:jc w:val="right"/>
              <w:ind w:right="151"/>
              <w:spacing w:after="0" w:line="99" w:lineRule="exact"/>
              <w:rPr>
                <w:sz w:val="20"/>
                <w:szCs w:val="20"/>
                <w:color w:val="auto"/>
              </w:rPr>
            </w:pPr>
            <w:r>
              <w:rPr>
                <w:rFonts w:ascii="Arial" w:cs="Arial" w:eastAsia="Arial" w:hAnsi="Arial"/>
                <w:sz w:val="10"/>
                <w:szCs w:val="10"/>
                <w:color w:val="auto"/>
              </w:rPr>
              <w:t>57</w:t>
            </w:r>
          </w:p>
        </w:tc>
        <w:tc>
          <w:tcPr>
            <w:tcW w:w="660" w:type="dxa"/>
            <w:vAlign w:val="bottom"/>
            <w:tcBorders>
              <w:right w:val="single" w:sz="8" w:color="00B2E5"/>
            </w:tcBorders>
          </w:tcPr>
          <w:p>
            <w:pPr>
              <w:jc w:val="center"/>
              <w:ind w:right="31"/>
              <w:spacing w:after="0" w:line="99" w:lineRule="exact"/>
              <w:rPr>
                <w:sz w:val="20"/>
                <w:szCs w:val="20"/>
                <w:color w:val="auto"/>
              </w:rPr>
            </w:pPr>
            <w:r>
              <w:rPr>
                <w:rFonts w:ascii="Arial" w:cs="Arial" w:eastAsia="Arial" w:hAnsi="Arial"/>
                <w:sz w:val="10"/>
                <w:szCs w:val="10"/>
                <w:color w:val="auto"/>
                <w:w w:val="98"/>
              </w:rPr>
              <w:t>2020</w:t>
            </w:r>
          </w:p>
        </w:tc>
        <w:tc>
          <w:tcPr>
            <w:tcW w:w="4560" w:type="dxa"/>
            <w:vAlign w:val="bottom"/>
            <w:tcBorders>
              <w:right w:val="single" w:sz="8" w:color="00B2E5"/>
            </w:tcBorders>
          </w:tcPr>
          <w:p>
            <w:pPr>
              <w:ind w:left="100"/>
              <w:spacing w:after="0" w:line="99" w:lineRule="exact"/>
              <w:rPr>
                <w:sz w:val="20"/>
                <w:szCs w:val="20"/>
                <w:color w:val="auto"/>
              </w:rPr>
            </w:pPr>
            <w:r>
              <w:rPr>
                <w:rFonts w:ascii="Arial" w:cs="Arial" w:eastAsia="Arial" w:hAnsi="Arial"/>
                <w:sz w:val="10"/>
                <w:szCs w:val="10"/>
                <w:color w:val="auto"/>
              </w:rPr>
              <w:t>Former Chief Financial Officer of SolarCity Corporation and former Chief Financial Officer of</w:t>
            </w:r>
          </w:p>
        </w:tc>
        <w:tc>
          <w:tcPr>
            <w:tcW w:w="740" w:type="dxa"/>
            <w:vAlign w:val="bottom"/>
          </w:tcPr>
          <w:p>
            <w:pPr>
              <w:jc w:val="center"/>
              <w:spacing w:after="0" w:line="99" w:lineRule="exact"/>
              <w:rPr>
                <w:sz w:val="20"/>
                <w:szCs w:val="20"/>
                <w:color w:val="auto"/>
              </w:rPr>
            </w:pPr>
            <w:r>
              <w:rPr>
                <w:rFonts w:ascii="Arial" w:cs="Arial" w:eastAsia="Arial" w:hAnsi="Arial"/>
                <w:sz w:val="10"/>
                <w:szCs w:val="10"/>
                <w:color w:val="auto"/>
                <w:w w:val="92"/>
              </w:rPr>
              <w:t>Yes</w:t>
            </w:r>
          </w:p>
        </w:tc>
        <w:tc>
          <w:tcPr>
            <w:tcW w:w="680" w:type="dxa"/>
            <w:vAlign w:val="bottom"/>
          </w:tcPr>
          <w:p>
            <w:pPr>
              <w:jc w:val="center"/>
              <w:ind w:left="31"/>
              <w:spacing w:after="0" w:line="99" w:lineRule="exact"/>
              <w:rPr>
                <w:sz w:val="20"/>
                <w:szCs w:val="20"/>
                <w:color w:val="auto"/>
              </w:rPr>
            </w:pPr>
            <w:r>
              <w:rPr>
                <w:rFonts w:ascii="Arial" w:cs="Arial" w:eastAsia="Arial" w:hAnsi="Arial"/>
                <w:sz w:val="10"/>
                <w:szCs w:val="10"/>
                <w:color w:val="auto"/>
              </w:rPr>
              <w:t>CO, NG</w:t>
            </w:r>
          </w:p>
        </w:tc>
      </w:tr>
      <w:tr>
        <w:trPr>
          <w:trHeight w:val="118"/>
        </w:trPr>
        <w:tc>
          <w:tcPr>
            <w:tcW w:w="20" w:type="dxa"/>
            <w:vAlign w:val="bottom"/>
          </w:tcPr>
          <w:p>
            <w:pPr>
              <w:spacing w:after="0"/>
              <w:rPr>
                <w:sz w:val="10"/>
                <w:szCs w:val="10"/>
                <w:color w:val="auto"/>
              </w:rPr>
            </w:pPr>
          </w:p>
        </w:tc>
        <w:tc>
          <w:tcPr>
            <w:tcW w:w="1240" w:type="dxa"/>
            <w:vAlign w:val="bottom"/>
            <w:tcBorders>
              <w:bottom w:val="single" w:sz="8" w:color="00B2E5"/>
              <w:right w:val="single" w:sz="8" w:color="00B2E5"/>
            </w:tcBorders>
          </w:tcPr>
          <w:p>
            <w:pPr>
              <w:spacing w:after="0"/>
              <w:rPr>
                <w:sz w:val="10"/>
                <w:szCs w:val="10"/>
                <w:color w:val="auto"/>
              </w:rPr>
            </w:pPr>
          </w:p>
        </w:tc>
        <w:tc>
          <w:tcPr>
            <w:tcW w:w="480" w:type="dxa"/>
            <w:vAlign w:val="bottom"/>
            <w:tcBorders>
              <w:bottom w:val="single" w:sz="8" w:color="00B2E5"/>
              <w:right w:val="single" w:sz="8" w:color="00B2E5"/>
            </w:tcBorders>
          </w:tcPr>
          <w:p>
            <w:pPr>
              <w:spacing w:after="0"/>
              <w:rPr>
                <w:sz w:val="10"/>
                <w:szCs w:val="10"/>
                <w:color w:val="auto"/>
              </w:rPr>
            </w:pPr>
          </w:p>
        </w:tc>
        <w:tc>
          <w:tcPr>
            <w:tcW w:w="660" w:type="dxa"/>
            <w:vAlign w:val="bottom"/>
            <w:tcBorders>
              <w:bottom w:val="single" w:sz="8" w:color="00B2E5"/>
              <w:right w:val="single" w:sz="8" w:color="00B2E5"/>
            </w:tcBorders>
          </w:tcPr>
          <w:p>
            <w:pPr>
              <w:spacing w:after="0"/>
              <w:rPr>
                <w:sz w:val="10"/>
                <w:szCs w:val="10"/>
                <w:color w:val="auto"/>
              </w:rPr>
            </w:pPr>
          </w:p>
        </w:tc>
        <w:tc>
          <w:tcPr>
            <w:tcW w:w="4560" w:type="dxa"/>
            <w:vAlign w:val="bottom"/>
            <w:tcBorders>
              <w:bottom w:val="single" w:sz="8" w:color="00B2E5"/>
              <w:right w:val="single" w:sz="8" w:color="00B2E5"/>
            </w:tcBorders>
          </w:tcPr>
          <w:p>
            <w:pPr>
              <w:ind w:left="100"/>
              <w:spacing w:after="0"/>
              <w:rPr>
                <w:sz w:val="20"/>
                <w:szCs w:val="20"/>
                <w:color w:val="auto"/>
              </w:rPr>
            </w:pPr>
            <w:r>
              <w:rPr>
                <w:rFonts w:ascii="Arial" w:cs="Arial" w:eastAsia="Arial" w:hAnsi="Arial"/>
                <w:sz w:val="10"/>
                <w:szCs w:val="10"/>
                <w:color w:val="auto"/>
              </w:rPr>
              <w:t>Cypress Semiconductor Corporation</w:t>
            </w:r>
          </w:p>
        </w:tc>
        <w:tc>
          <w:tcPr>
            <w:tcW w:w="740" w:type="dxa"/>
            <w:vAlign w:val="bottom"/>
            <w:tcBorders>
              <w:bottom w:val="single" w:sz="8" w:color="00B2E5"/>
            </w:tcBorders>
          </w:tcPr>
          <w:p>
            <w:pPr>
              <w:spacing w:after="0"/>
              <w:rPr>
                <w:sz w:val="10"/>
                <w:szCs w:val="10"/>
                <w:color w:val="auto"/>
              </w:rPr>
            </w:pPr>
          </w:p>
        </w:tc>
        <w:tc>
          <w:tcPr>
            <w:tcW w:w="680" w:type="dxa"/>
            <w:vAlign w:val="bottom"/>
            <w:tcBorders>
              <w:bottom w:val="single" w:sz="8" w:color="00B2E5"/>
            </w:tcBorders>
          </w:tcPr>
          <w:p>
            <w:pPr>
              <w:spacing w:after="0"/>
              <w:rPr>
                <w:sz w:val="10"/>
                <w:szCs w:val="10"/>
                <w:color w:val="auto"/>
              </w:rPr>
            </w:pPr>
          </w:p>
        </w:tc>
      </w:tr>
      <w:tr>
        <w:trPr>
          <w:trHeight w:val="98"/>
        </w:trPr>
        <w:tc>
          <w:tcPr>
            <w:tcW w:w="20" w:type="dxa"/>
            <w:vAlign w:val="bottom"/>
            <w:tcBorders>
              <w:bottom w:val="single" w:sz="8" w:color="00B2E5"/>
            </w:tcBorders>
          </w:tcPr>
          <w:p>
            <w:pPr>
              <w:spacing w:after="0"/>
              <w:rPr>
                <w:sz w:val="8"/>
                <w:szCs w:val="8"/>
                <w:color w:val="auto"/>
              </w:rPr>
            </w:pPr>
          </w:p>
        </w:tc>
        <w:tc>
          <w:tcPr>
            <w:tcW w:w="1240" w:type="dxa"/>
            <w:vAlign w:val="bottom"/>
            <w:tcBorders>
              <w:bottom w:val="single" w:sz="8" w:color="00B2E5"/>
              <w:right w:val="single" w:sz="8" w:color="00B2E5"/>
            </w:tcBorders>
          </w:tcPr>
          <w:p>
            <w:pPr>
              <w:spacing w:after="0" w:line="99" w:lineRule="exact"/>
              <w:rPr>
                <w:sz w:val="20"/>
                <w:szCs w:val="20"/>
                <w:color w:val="auto"/>
              </w:rPr>
            </w:pPr>
            <w:r>
              <w:rPr>
                <w:rFonts w:ascii="Arial" w:cs="Arial" w:eastAsia="Arial" w:hAnsi="Arial"/>
                <w:sz w:val="10"/>
                <w:szCs w:val="10"/>
                <w:color w:val="auto"/>
              </w:rPr>
              <w:t>Robert G. Card</w:t>
            </w:r>
          </w:p>
        </w:tc>
        <w:tc>
          <w:tcPr>
            <w:tcW w:w="480" w:type="dxa"/>
            <w:vAlign w:val="bottom"/>
            <w:tcBorders>
              <w:bottom w:val="single" w:sz="8" w:color="00B2E5"/>
              <w:right w:val="single" w:sz="8" w:color="00B2E5"/>
            </w:tcBorders>
          </w:tcPr>
          <w:p>
            <w:pPr>
              <w:jc w:val="right"/>
              <w:ind w:right="151"/>
              <w:spacing w:after="0" w:line="99" w:lineRule="exact"/>
              <w:rPr>
                <w:sz w:val="20"/>
                <w:szCs w:val="20"/>
                <w:color w:val="auto"/>
              </w:rPr>
            </w:pPr>
            <w:r>
              <w:rPr>
                <w:rFonts w:ascii="Arial" w:cs="Arial" w:eastAsia="Arial" w:hAnsi="Arial"/>
                <w:sz w:val="10"/>
                <w:szCs w:val="10"/>
                <w:color w:val="auto"/>
              </w:rPr>
              <w:t>67</w:t>
            </w:r>
          </w:p>
        </w:tc>
        <w:tc>
          <w:tcPr>
            <w:tcW w:w="660" w:type="dxa"/>
            <w:vAlign w:val="bottom"/>
            <w:tcBorders>
              <w:bottom w:val="single" w:sz="8" w:color="00B2E5"/>
              <w:right w:val="single" w:sz="8" w:color="00B2E5"/>
            </w:tcBorders>
          </w:tcPr>
          <w:p>
            <w:pPr>
              <w:jc w:val="center"/>
              <w:ind w:right="31"/>
              <w:spacing w:after="0" w:line="99" w:lineRule="exact"/>
              <w:rPr>
                <w:sz w:val="20"/>
                <w:szCs w:val="20"/>
                <w:color w:val="auto"/>
              </w:rPr>
            </w:pPr>
            <w:r>
              <w:rPr>
                <w:rFonts w:ascii="Arial" w:cs="Arial" w:eastAsia="Arial" w:hAnsi="Arial"/>
                <w:sz w:val="10"/>
                <w:szCs w:val="10"/>
                <w:color w:val="auto"/>
                <w:w w:val="98"/>
              </w:rPr>
              <w:t>2019</w:t>
            </w:r>
          </w:p>
        </w:tc>
        <w:tc>
          <w:tcPr>
            <w:tcW w:w="4560" w:type="dxa"/>
            <w:vAlign w:val="bottom"/>
            <w:tcBorders>
              <w:bottom w:val="single" w:sz="8" w:color="00B2E5"/>
              <w:right w:val="single" w:sz="8" w:color="00B2E5"/>
            </w:tcBorders>
          </w:tcPr>
          <w:p>
            <w:pPr>
              <w:ind w:left="100"/>
              <w:spacing w:after="0" w:line="99" w:lineRule="exact"/>
              <w:rPr>
                <w:sz w:val="20"/>
                <w:szCs w:val="20"/>
                <w:color w:val="auto"/>
              </w:rPr>
            </w:pPr>
            <w:r>
              <w:rPr>
                <w:rFonts w:ascii="Arial" w:cs="Arial" w:eastAsia="Arial" w:hAnsi="Arial"/>
                <w:sz w:val="10"/>
                <w:szCs w:val="10"/>
                <w:color w:val="auto"/>
              </w:rPr>
              <w:t>President, The Card Group LLC; Former President and Chief Executive Officer of SNC-Lavalin</w:t>
            </w:r>
          </w:p>
        </w:tc>
        <w:tc>
          <w:tcPr>
            <w:tcW w:w="740" w:type="dxa"/>
            <w:vAlign w:val="bottom"/>
            <w:tcBorders>
              <w:bottom w:val="single" w:sz="8" w:color="00B2E5"/>
            </w:tcBorders>
          </w:tcPr>
          <w:p>
            <w:pPr>
              <w:jc w:val="center"/>
              <w:spacing w:after="0" w:line="99" w:lineRule="exact"/>
              <w:rPr>
                <w:sz w:val="20"/>
                <w:szCs w:val="20"/>
                <w:color w:val="auto"/>
              </w:rPr>
            </w:pPr>
            <w:r>
              <w:rPr>
                <w:rFonts w:ascii="Arial" w:cs="Arial" w:eastAsia="Arial" w:hAnsi="Arial"/>
                <w:sz w:val="10"/>
                <w:szCs w:val="10"/>
                <w:color w:val="auto"/>
                <w:w w:val="92"/>
              </w:rPr>
              <w:t>Yes</w:t>
            </w:r>
          </w:p>
        </w:tc>
        <w:tc>
          <w:tcPr>
            <w:tcW w:w="680" w:type="dxa"/>
            <w:vAlign w:val="bottom"/>
            <w:tcBorders>
              <w:bottom w:val="single" w:sz="8" w:color="00B2E5"/>
            </w:tcBorders>
          </w:tcPr>
          <w:p>
            <w:pPr>
              <w:jc w:val="center"/>
              <w:ind w:left="31"/>
              <w:spacing w:after="0" w:line="99" w:lineRule="exact"/>
              <w:rPr>
                <w:sz w:val="20"/>
                <w:szCs w:val="20"/>
                <w:color w:val="auto"/>
              </w:rPr>
            </w:pPr>
            <w:r>
              <w:rPr>
                <w:rFonts w:ascii="Arial" w:cs="Arial" w:eastAsia="Arial" w:hAnsi="Arial"/>
                <w:sz w:val="10"/>
                <w:szCs w:val="10"/>
                <w:color w:val="auto"/>
              </w:rPr>
              <w:t>A, NG</w:t>
            </w:r>
          </w:p>
        </w:tc>
      </w:tr>
      <w:tr>
        <w:trPr>
          <w:trHeight w:val="98"/>
        </w:trPr>
        <w:tc>
          <w:tcPr>
            <w:tcW w:w="1260" w:type="dxa"/>
            <w:vAlign w:val="bottom"/>
            <w:tcBorders>
              <w:bottom w:val="single" w:sz="8" w:color="00B2E5"/>
              <w:right w:val="single" w:sz="8" w:color="00B2E5"/>
            </w:tcBorders>
            <w:gridSpan w:val="2"/>
          </w:tcPr>
          <w:p>
            <w:pPr>
              <w:spacing w:after="0" w:line="99" w:lineRule="exact"/>
              <w:rPr>
                <w:sz w:val="20"/>
                <w:szCs w:val="20"/>
                <w:color w:val="auto"/>
              </w:rPr>
            </w:pPr>
            <w:r>
              <w:rPr>
                <w:rFonts w:ascii="Arial" w:cs="Arial" w:eastAsia="Arial" w:hAnsi="Arial"/>
                <w:sz w:val="10"/>
                <w:szCs w:val="10"/>
                <w:color w:val="auto"/>
              </w:rPr>
              <w:t>Jacqueline C. Hinman</w:t>
            </w:r>
          </w:p>
        </w:tc>
        <w:tc>
          <w:tcPr>
            <w:tcW w:w="480" w:type="dxa"/>
            <w:vAlign w:val="bottom"/>
            <w:tcBorders>
              <w:bottom w:val="single" w:sz="8" w:color="00B2E5"/>
              <w:right w:val="single" w:sz="8" w:color="00B2E5"/>
            </w:tcBorders>
          </w:tcPr>
          <w:p>
            <w:pPr>
              <w:jc w:val="right"/>
              <w:ind w:right="151"/>
              <w:spacing w:after="0" w:line="99" w:lineRule="exact"/>
              <w:rPr>
                <w:sz w:val="20"/>
                <w:szCs w:val="20"/>
                <w:color w:val="auto"/>
              </w:rPr>
            </w:pPr>
            <w:r>
              <w:rPr>
                <w:rFonts w:ascii="Arial" w:cs="Arial" w:eastAsia="Arial" w:hAnsi="Arial"/>
                <w:sz w:val="10"/>
                <w:szCs w:val="10"/>
                <w:color w:val="auto"/>
              </w:rPr>
              <w:t>59</w:t>
            </w:r>
          </w:p>
        </w:tc>
        <w:tc>
          <w:tcPr>
            <w:tcW w:w="660" w:type="dxa"/>
            <w:vAlign w:val="bottom"/>
            <w:tcBorders>
              <w:bottom w:val="single" w:sz="8" w:color="00B2E5"/>
              <w:right w:val="single" w:sz="8" w:color="00B2E5"/>
            </w:tcBorders>
          </w:tcPr>
          <w:p>
            <w:pPr>
              <w:jc w:val="center"/>
              <w:ind w:right="31"/>
              <w:spacing w:after="0" w:line="99" w:lineRule="exact"/>
              <w:rPr>
                <w:sz w:val="20"/>
                <w:szCs w:val="20"/>
                <w:color w:val="auto"/>
              </w:rPr>
            </w:pPr>
            <w:r>
              <w:rPr>
                <w:rFonts w:ascii="Arial" w:cs="Arial" w:eastAsia="Arial" w:hAnsi="Arial"/>
                <w:sz w:val="10"/>
                <w:szCs w:val="10"/>
                <w:color w:val="auto"/>
                <w:w w:val="98"/>
              </w:rPr>
              <w:t>2019</w:t>
            </w:r>
          </w:p>
        </w:tc>
        <w:tc>
          <w:tcPr>
            <w:tcW w:w="4560" w:type="dxa"/>
            <w:vAlign w:val="bottom"/>
            <w:tcBorders>
              <w:bottom w:val="single" w:sz="8" w:color="00B2E5"/>
              <w:right w:val="single" w:sz="8" w:color="00B2E5"/>
            </w:tcBorders>
          </w:tcPr>
          <w:p>
            <w:pPr>
              <w:ind w:left="100"/>
              <w:spacing w:after="0" w:line="99" w:lineRule="exact"/>
              <w:rPr>
                <w:sz w:val="20"/>
                <w:szCs w:val="20"/>
                <w:color w:val="auto"/>
              </w:rPr>
            </w:pPr>
            <w:r>
              <w:rPr>
                <w:rFonts w:ascii="Arial" w:cs="Arial" w:eastAsia="Arial" w:hAnsi="Arial"/>
                <w:sz w:val="10"/>
                <w:szCs w:val="10"/>
                <w:color w:val="auto"/>
              </w:rPr>
              <w:t>Former Chairman, President and Chief Executive Officer of CH2M HILL Companies, Ltd.</w:t>
            </w:r>
          </w:p>
        </w:tc>
        <w:tc>
          <w:tcPr>
            <w:tcW w:w="740" w:type="dxa"/>
            <w:vAlign w:val="bottom"/>
            <w:tcBorders>
              <w:bottom w:val="single" w:sz="8" w:color="00B2E5"/>
            </w:tcBorders>
          </w:tcPr>
          <w:p>
            <w:pPr>
              <w:jc w:val="center"/>
              <w:spacing w:after="0" w:line="99" w:lineRule="exact"/>
              <w:rPr>
                <w:sz w:val="20"/>
                <w:szCs w:val="20"/>
                <w:color w:val="auto"/>
              </w:rPr>
            </w:pPr>
            <w:r>
              <w:rPr>
                <w:rFonts w:ascii="Arial" w:cs="Arial" w:eastAsia="Arial" w:hAnsi="Arial"/>
                <w:sz w:val="10"/>
                <w:szCs w:val="10"/>
                <w:color w:val="auto"/>
                <w:w w:val="92"/>
              </w:rPr>
              <w:t>Yes</w:t>
            </w:r>
          </w:p>
        </w:tc>
        <w:tc>
          <w:tcPr>
            <w:tcW w:w="680" w:type="dxa"/>
            <w:vAlign w:val="bottom"/>
            <w:tcBorders>
              <w:bottom w:val="single" w:sz="8" w:color="00B2E5"/>
            </w:tcBorders>
          </w:tcPr>
          <w:p>
            <w:pPr>
              <w:jc w:val="center"/>
              <w:ind w:left="31"/>
              <w:spacing w:after="0" w:line="99" w:lineRule="exact"/>
              <w:rPr>
                <w:sz w:val="20"/>
                <w:szCs w:val="20"/>
                <w:color w:val="auto"/>
              </w:rPr>
            </w:pPr>
            <w:r>
              <w:rPr>
                <w:rFonts w:ascii="Arial" w:cs="Arial" w:eastAsia="Arial" w:hAnsi="Arial"/>
                <w:sz w:val="10"/>
                <w:szCs w:val="10"/>
                <w:color w:val="auto"/>
                <w:w w:val="97"/>
              </w:rPr>
              <w:t>CO, SRS</w:t>
            </w:r>
          </w:p>
        </w:tc>
      </w:tr>
      <w:tr>
        <w:trPr>
          <w:trHeight w:val="117"/>
        </w:trPr>
        <w:tc>
          <w:tcPr>
            <w:tcW w:w="1260" w:type="dxa"/>
            <w:vAlign w:val="bottom"/>
            <w:tcBorders>
              <w:bottom w:val="single" w:sz="8" w:color="00B2E5"/>
              <w:right w:val="single" w:sz="8" w:color="00B2E5"/>
            </w:tcBorders>
            <w:gridSpan w:val="2"/>
          </w:tcPr>
          <w:p>
            <w:pPr>
              <w:spacing w:after="0" w:line="117" w:lineRule="exact"/>
              <w:rPr>
                <w:sz w:val="20"/>
                <w:szCs w:val="20"/>
                <w:color w:val="auto"/>
              </w:rPr>
            </w:pPr>
            <w:r>
              <w:rPr>
                <w:rFonts w:ascii="Arial" w:cs="Arial" w:eastAsia="Arial" w:hAnsi="Arial"/>
                <w:sz w:val="9"/>
                <w:szCs w:val="9"/>
                <w:color w:val="auto"/>
              </w:rPr>
              <w:t>Steven A. Kandarian</w:t>
            </w:r>
            <w:r>
              <w:rPr>
                <w:rFonts w:ascii="Arial" w:cs="Arial" w:eastAsia="Arial" w:hAnsi="Arial"/>
                <w:sz w:val="13"/>
                <w:szCs w:val="13"/>
                <w:color w:val="auto"/>
                <w:vertAlign w:val="superscript"/>
              </w:rPr>
              <w:t>1</w:t>
            </w:r>
          </w:p>
        </w:tc>
        <w:tc>
          <w:tcPr>
            <w:tcW w:w="480" w:type="dxa"/>
            <w:vAlign w:val="bottom"/>
            <w:tcBorders>
              <w:bottom w:val="single" w:sz="8" w:color="00B2E5"/>
              <w:right w:val="single" w:sz="8" w:color="00B2E5"/>
            </w:tcBorders>
          </w:tcPr>
          <w:p>
            <w:pPr>
              <w:jc w:val="right"/>
              <w:ind w:right="151"/>
              <w:spacing w:after="0"/>
              <w:rPr>
                <w:sz w:val="20"/>
                <w:szCs w:val="20"/>
                <w:color w:val="auto"/>
              </w:rPr>
            </w:pPr>
            <w:r>
              <w:rPr>
                <w:rFonts w:ascii="Arial" w:cs="Arial" w:eastAsia="Arial" w:hAnsi="Arial"/>
                <w:sz w:val="10"/>
                <w:szCs w:val="10"/>
                <w:color w:val="auto"/>
              </w:rPr>
              <w:t>68</w:t>
            </w:r>
          </w:p>
        </w:tc>
        <w:tc>
          <w:tcPr>
            <w:tcW w:w="660" w:type="dxa"/>
            <w:vAlign w:val="bottom"/>
            <w:tcBorders>
              <w:bottom w:val="single" w:sz="8" w:color="00B2E5"/>
              <w:right w:val="single" w:sz="8" w:color="00B2E5"/>
            </w:tcBorders>
          </w:tcPr>
          <w:p>
            <w:pPr>
              <w:jc w:val="center"/>
              <w:ind w:right="31"/>
              <w:spacing w:after="0"/>
              <w:rPr>
                <w:sz w:val="20"/>
                <w:szCs w:val="20"/>
                <w:color w:val="auto"/>
              </w:rPr>
            </w:pPr>
            <w:r>
              <w:rPr>
                <w:rFonts w:ascii="Arial" w:cs="Arial" w:eastAsia="Arial" w:hAnsi="Arial"/>
                <w:sz w:val="10"/>
                <w:szCs w:val="10"/>
                <w:color w:val="auto"/>
                <w:w w:val="98"/>
              </w:rPr>
              <w:t>2019</w:t>
            </w:r>
          </w:p>
        </w:tc>
        <w:tc>
          <w:tcPr>
            <w:tcW w:w="4560" w:type="dxa"/>
            <w:vAlign w:val="bottom"/>
            <w:tcBorders>
              <w:bottom w:val="single" w:sz="8" w:color="00B2E5"/>
              <w:right w:val="single" w:sz="8" w:color="00B2E5"/>
            </w:tcBorders>
          </w:tcPr>
          <w:p>
            <w:pPr>
              <w:ind w:left="100"/>
              <w:spacing w:after="0"/>
              <w:rPr>
                <w:sz w:val="20"/>
                <w:szCs w:val="20"/>
                <w:color w:val="auto"/>
              </w:rPr>
            </w:pPr>
            <w:r>
              <w:rPr>
                <w:rFonts w:ascii="Arial" w:cs="Arial" w:eastAsia="Arial" w:hAnsi="Arial"/>
                <w:sz w:val="10"/>
                <w:szCs w:val="10"/>
                <w:color w:val="auto"/>
              </w:rPr>
              <w:t>Former Chairman and Chief Executive Officer of MetLife Inc.</w:t>
            </w:r>
          </w:p>
        </w:tc>
        <w:tc>
          <w:tcPr>
            <w:tcW w:w="740" w:type="dxa"/>
            <w:vAlign w:val="bottom"/>
            <w:tcBorders>
              <w:bottom w:val="single" w:sz="8" w:color="00B2E5"/>
            </w:tcBorders>
          </w:tcPr>
          <w:p>
            <w:pPr>
              <w:jc w:val="center"/>
              <w:spacing w:after="0"/>
              <w:rPr>
                <w:sz w:val="20"/>
                <w:szCs w:val="20"/>
                <w:color w:val="auto"/>
              </w:rPr>
            </w:pPr>
            <w:r>
              <w:rPr>
                <w:rFonts w:ascii="Arial" w:cs="Arial" w:eastAsia="Arial" w:hAnsi="Arial"/>
                <w:sz w:val="10"/>
                <w:szCs w:val="10"/>
                <w:color w:val="auto"/>
                <w:w w:val="92"/>
              </w:rPr>
              <w:t>Yes</w:t>
            </w:r>
          </w:p>
        </w:tc>
        <w:tc>
          <w:tcPr>
            <w:tcW w:w="680" w:type="dxa"/>
            <w:vAlign w:val="bottom"/>
            <w:tcBorders>
              <w:bottom w:val="single" w:sz="8" w:color="00B2E5"/>
            </w:tcBorders>
          </w:tcPr>
          <w:p>
            <w:pPr>
              <w:jc w:val="center"/>
              <w:ind w:left="31"/>
              <w:spacing w:after="0"/>
              <w:rPr>
                <w:sz w:val="20"/>
                <w:szCs w:val="20"/>
                <w:color w:val="auto"/>
              </w:rPr>
            </w:pPr>
            <w:r>
              <w:rPr>
                <w:rFonts w:ascii="Arial" w:cs="Arial" w:eastAsia="Arial" w:hAnsi="Arial"/>
                <w:sz w:val="10"/>
                <w:szCs w:val="10"/>
                <w:color w:val="auto"/>
              </w:rPr>
              <w:t>A, CO*</w:t>
            </w:r>
          </w:p>
        </w:tc>
      </w:tr>
      <w:tr>
        <w:trPr>
          <w:trHeight w:val="98"/>
        </w:trPr>
        <w:tc>
          <w:tcPr>
            <w:tcW w:w="1260" w:type="dxa"/>
            <w:vAlign w:val="bottom"/>
            <w:tcBorders>
              <w:bottom w:val="single" w:sz="8" w:color="00B2E5"/>
              <w:right w:val="single" w:sz="8" w:color="00B2E5"/>
            </w:tcBorders>
            <w:gridSpan w:val="2"/>
          </w:tcPr>
          <w:p>
            <w:pPr>
              <w:spacing w:after="0" w:line="99" w:lineRule="exact"/>
              <w:rPr>
                <w:sz w:val="20"/>
                <w:szCs w:val="20"/>
                <w:color w:val="auto"/>
              </w:rPr>
            </w:pPr>
            <w:r>
              <w:rPr>
                <w:rFonts w:ascii="Arial" w:cs="Arial" w:eastAsia="Arial" w:hAnsi="Arial"/>
                <w:sz w:val="10"/>
                <w:szCs w:val="10"/>
                <w:color w:val="auto"/>
              </w:rPr>
              <w:t>Lydia H. Kennard</w:t>
            </w:r>
          </w:p>
        </w:tc>
        <w:tc>
          <w:tcPr>
            <w:tcW w:w="480" w:type="dxa"/>
            <w:vAlign w:val="bottom"/>
            <w:tcBorders>
              <w:bottom w:val="single" w:sz="8" w:color="00B2E5"/>
              <w:right w:val="single" w:sz="8" w:color="00B2E5"/>
            </w:tcBorders>
          </w:tcPr>
          <w:p>
            <w:pPr>
              <w:jc w:val="right"/>
              <w:ind w:right="151"/>
              <w:spacing w:after="0" w:line="99" w:lineRule="exact"/>
              <w:rPr>
                <w:sz w:val="20"/>
                <w:szCs w:val="20"/>
                <w:color w:val="auto"/>
              </w:rPr>
            </w:pPr>
            <w:r>
              <w:rPr>
                <w:rFonts w:ascii="Arial" w:cs="Arial" w:eastAsia="Arial" w:hAnsi="Arial"/>
                <w:sz w:val="10"/>
                <w:szCs w:val="10"/>
                <w:color w:val="auto"/>
              </w:rPr>
              <w:t>66</w:t>
            </w:r>
          </w:p>
        </w:tc>
        <w:tc>
          <w:tcPr>
            <w:tcW w:w="660" w:type="dxa"/>
            <w:vAlign w:val="bottom"/>
            <w:tcBorders>
              <w:bottom w:val="single" w:sz="8" w:color="00B2E5"/>
              <w:right w:val="single" w:sz="8" w:color="00B2E5"/>
            </w:tcBorders>
          </w:tcPr>
          <w:p>
            <w:pPr>
              <w:jc w:val="center"/>
              <w:ind w:right="31"/>
              <w:spacing w:after="0" w:line="99" w:lineRule="exact"/>
              <w:rPr>
                <w:sz w:val="20"/>
                <w:szCs w:val="20"/>
                <w:color w:val="auto"/>
              </w:rPr>
            </w:pPr>
            <w:r>
              <w:rPr>
                <w:rFonts w:ascii="Arial" w:cs="Arial" w:eastAsia="Arial" w:hAnsi="Arial"/>
                <w:sz w:val="10"/>
                <w:szCs w:val="10"/>
                <w:color w:val="auto"/>
                <w:w w:val="98"/>
              </w:rPr>
              <w:t>2020</w:t>
            </w:r>
          </w:p>
        </w:tc>
        <w:tc>
          <w:tcPr>
            <w:tcW w:w="4560" w:type="dxa"/>
            <w:vAlign w:val="bottom"/>
            <w:tcBorders>
              <w:bottom w:val="single" w:sz="8" w:color="00B2E5"/>
              <w:right w:val="single" w:sz="8" w:color="00B2E5"/>
            </w:tcBorders>
          </w:tcPr>
          <w:p>
            <w:pPr>
              <w:ind w:left="100"/>
              <w:spacing w:after="0" w:line="99" w:lineRule="exact"/>
              <w:rPr>
                <w:sz w:val="20"/>
                <w:szCs w:val="20"/>
                <w:color w:val="auto"/>
              </w:rPr>
            </w:pPr>
            <w:r>
              <w:rPr>
                <w:rFonts w:ascii="Arial" w:cs="Arial" w:eastAsia="Arial" w:hAnsi="Arial"/>
                <w:sz w:val="10"/>
                <w:szCs w:val="10"/>
                <w:color w:val="auto"/>
              </w:rPr>
              <w:t>Founder and Chief Executive Officer of KDG Construction Consulting</w:t>
            </w:r>
          </w:p>
        </w:tc>
        <w:tc>
          <w:tcPr>
            <w:tcW w:w="740" w:type="dxa"/>
            <w:vAlign w:val="bottom"/>
            <w:tcBorders>
              <w:bottom w:val="single" w:sz="8" w:color="00B2E5"/>
            </w:tcBorders>
          </w:tcPr>
          <w:p>
            <w:pPr>
              <w:jc w:val="center"/>
              <w:spacing w:after="0" w:line="99" w:lineRule="exact"/>
              <w:rPr>
                <w:sz w:val="20"/>
                <w:szCs w:val="20"/>
                <w:color w:val="auto"/>
              </w:rPr>
            </w:pPr>
            <w:r>
              <w:rPr>
                <w:rFonts w:ascii="Arial" w:cs="Arial" w:eastAsia="Arial" w:hAnsi="Arial"/>
                <w:sz w:val="10"/>
                <w:szCs w:val="10"/>
                <w:color w:val="auto"/>
                <w:w w:val="93"/>
              </w:rPr>
              <w:t>No</w:t>
            </w:r>
          </w:p>
        </w:tc>
        <w:tc>
          <w:tcPr>
            <w:tcW w:w="680" w:type="dxa"/>
            <w:vAlign w:val="bottom"/>
            <w:tcBorders>
              <w:bottom w:val="single" w:sz="8" w:color="00B2E5"/>
            </w:tcBorders>
          </w:tcPr>
          <w:p>
            <w:pPr>
              <w:jc w:val="center"/>
              <w:ind w:left="31"/>
              <w:spacing w:after="0" w:line="99" w:lineRule="exact"/>
              <w:rPr>
                <w:sz w:val="20"/>
                <w:szCs w:val="20"/>
                <w:color w:val="auto"/>
              </w:rPr>
            </w:pPr>
            <w:r>
              <w:rPr>
                <w:rFonts w:ascii="Arial" w:cs="Arial" w:eastAsia="Arial" w:hAnsi="Arial"/>
                <w:sz w:val="10"/>
                <w:szCs w:val="10"/>
                <w:color w:val="auto"/>
                <w:w w:val="97"/>
              </w:rPr>
              <w:t>SRS</w:t>
            </w:r>
          </w:p>
        </w:tc>
      </w:tr>
      <w:tr>
        <w:trPr>
          <w:trHeight w:val="117"/>
        </w:trPr>
        <w:tc>
          <w:tcPr>
            <w:tcW w:w="1260" w:type="dxa"/>
            <w:vAlign w:val="bottom"/>
            <w:tcBorders>
              <w:bottom w:val="single" w:sz="8" w:color="00B2E5"/>
              <w:right w:val="single" w:sz="8" w:color="00B2E5"/>
            </w:tcBorders>
            <w:gridSpan w:val="2"/>
          </w:tcPr>
          <w:p>
            <w:pPr>
              <w:spacing w:after="0" w:line="117" w:lineRule="exact"/>
              <w:rPr>
                <w:sz w:val="20"/>
                <w:szCs w:val="20"/>
                <w:color w:val="auto"/>
              </w:rPr>
            </w:pPr>
            <w:r>
              <w:rPr>
                <w:rFonts w:ascii="Arial" w:cs="Arial" w:eastAsia="Arial" w:hAnsi="Arial"/>
                <w:sz w:val="9"/>
                <w:szCs w:val="9"/>
                <w:color w:val="auto"/>
              </w:rPr>
              <w:t>Dr. Robert J. Routs</w:t>
            </w:r>
            <w:r>
              <w:rPr>
                <w:rFonts w:ascii="Arial" w:cs="Arial" w:eastAsia="Arial" w:hAnsi="Arial"/>
                <w:sz w:val="13"/>
                <w:szCs w:val="13"/>
                <w:color w:val="auto"/>
                <w:vertAlign w:val="superscript"/>
              </w:rPr>
              <w:t>1</w:t>
            </w:r>
          </w:p>
        </w:tc>
        <w:tc>
          <w:tcPr>
            <w:tcW w:w="480" w:type="dxa"/>
            <w:vAlign w:val="bottom"/>
            <w:tcBorders>
              <w:bottom w:val="single" w:sz="8" w:color="00B2E5"/>
              <w:right w:val="single" w:sz="8" w:color="00B2E5"/>
            </w:tcBorders>
          </w:tcPr>
          <w:p>
            <w:pPr>
              <w:jc w:val="right"/>
              <w:ind w:right="151"/>
              <w:spacing w:after="0"/>
              <w:rPr>
                <w:sz w:val="20"/>
                <w:szCs w:val="20"/>
                <w:color w:val="auto"/>
              </w:rPr>
            </w:pPr>
            <w:r>
              <w:rPr>
                <w:rFonts w:ascii="Arial" w:cs="Arial" w:eastAsia="Arial" w:hAnsi="Arial"/>
                <w:sz w:val="10"/>
                <w:szCs w:val="10"/>
                <w:color w:val="auto"/>
              </w:rPr>
              <w:t>74</w:t>
            </w:r>
          </w:p>
        </w:tc>
        <w:tc>
          <w:tcPr>
            <w:tcW w:w="660" w:type="dxa"/>
            <w:vAlign w:val="bottom"/>
            <w:tcBorders>
              <w:bottom w:val="single" w:sz="8" w:color="00B2E5"/>
              <w:right w:val="single" w:sz="8" w:color="00B2E5"/>
            </w:tcBorders>
          </w:tcPr>
          <w:p>
            <w:pPr>
              <w:jc w:val="center"/>
              <w:ind w:right="31"/>
              <w:spacing w:after="0"/>
              <w:rPr>
                <w:sz w:val="20"/>
                <w:szCs w:val="20"/>
                <w:color w:val="auto"/>
              </w:rPr>
            </w:pPr>
            <w:r>
              <w:rPr>
                <w:rFonts w:ascii="Arial" w:cs="Arial" w:eastAsia="Arial" w:hAnsi="Arial"/>
                <w:sz w:val="10"/>
                <w:szCs w:val="10"/>
                <w:color w:val="auto"/>
                <w:w w:val="98"/>
              </w:rPr>
              <w:t>2010</w:t>
            </w:r>
          </w:p>
        </w:tc>
        <w:tc>
          <w:tcPr>
            <w:tcW w:w="4560" w:type="dxa"/>
            <w:vAlign w:val="bottom"/>
            <w:tcBorders>
              <w:bottom w:val="single" w:sz="8" w:color="00B2E5"/>
              <w:right w:val="single" w:sz="8" w:color="00B2E5"/>
            </w:tcBorders>
          </w:tcPr>
          <w:p>
            <w:pPr>
              <w:ind w:left="100"/>
              <w:spacing w:after="0"/>
              <w:rPr>
                <w:sz w:val="20"/>
                <w:szCs w:val="20"/>
                <w:color w:val="auto"/>
              </w:rPr>
            </w:pPr>
            <w:r>
              <w:rPr>
                <w:rFonts w:ascii="Arial" w:cs="Arial" w:eastAsia="Arial" w:hAnsi="Arial"/>
                <w:sz w:val="10"/>
                <w:szCs w:val="10"/>
                <w:color w:val="auto"/>
              </w:rPr>
              <w:t>Former Executive Director U.S. Downstream Operations, Royal Dutch Shell plc</w:t>
            </w:r>
          </w:p>
        </w:tc>
        <w:tc>
          <w:tcPr>
            <w:tcW w:w="740" w:type="dxa"/>
            <w:vAlign w:val="bottom"/>
            <w:tcBorders>
              <w:bottom w:val="single" w:sz="8" w:color="00B2E5"/>
            </w:tcBorders>
          </w:tcPr>
          <w:p>
            <w:pPr>
              <w:jc w:val="center"/>
              <w:spacing w:after="0"/>
              <w:rPr>
                <w:sz w:val="20"/>
                <w:szCs w:val="20"/>
                <w:color w:val="auto"/>
              </w:rPr>
            </w:pPr>
            <w:r>
              <w:rPr>
                <w:rFonts w:ascii="Arial" w:cs="Arial" w:eastAsia="Arial" w:hAnsi="Arial"/>
                <w:sz w:val="10"/>
                <w:szCs w:val="10"/>
                <w:color w:val="auto"/>
                <w:w w:val="92"/>
              </w:rPr>
              <w:t>Yes</w:t>
            </w:r>
          </w:p>
        </w:tc>
        <w:tc>
          <w:tcPr>
            <w:tcW w:w="680" w:type="dxa"/>
            <w:vAlign w:val="bottom"/>
            <w:tcBorders>
              <w:bottom w:val="single" w:sz="8" w:color="00B2E5"/>
            </w:tcBorders>
          </w:tcPr>
          <w:p>
            <w:pPr>
              <w:jc w:val="center"/>
              <w:ind w:left="31"/>
              <w:spacing w:after="0"/>
              <w:rPr>
                <w:sz w:val="20"/>
                <w:szCs w:val="20"/>
                <w:color w:val="auto"/>
              </w:rPr>
            </w:pPr>
            <w:r>
              <w:rPr>
                <w:rFonts w:ascii="Arial" w:cs="Arial" w:eastAsia="Arial" w:hAnsi="Arial"/>
                <w:sz w:val="10"/>
                <w:szCs w:val="10"/>
                <w:color w:val="auto"/>
                <w:w w:val="97"/>
              </w:rPr>
              <w:t>CO, SRS*</w:t>
            </w:r>
          </w:p>
        </w:tc>
      </w:tr>
      <w:tr>
        <w:trPr>
          <w:trHeight w:val="98"/>
        </w:trPr>
        <w:tc>
          <w:tcPr>
            <w:tcW w:w="1260" w:type="dxa"/>
            <w:vAlign w:val="bottom"/>
            <w:tcBorders>
              <w:bottom w:val="single" w:sz="8" w:color="00B2E5"/>
              <w:right w:val="single" w:sz="8" w:color="00B2E5"/>
            </w:tcBorders>
            <w:gridSpan w:val="2"/>
          </w:tcPr>
          <w:p>
            <w:pPr>
              <w:spacing w:after="0" w:line="99" w:lineRule="exact"/>
              <w:rPr>
                <w:sz w:val="20"/>
                <w:szCs w:val="20"/>
                <w:color w:val="auto"/>
              </w:rPr>
            </w:pPr>
            <w:r>
              <w:rPr>
                <w:rFonts w:ascii="Arial" w:cs="Arial" w:eastAsia="Arial" w:hAnsi="Arial"/>
                <w:sz w:val="10"/>
                <w:szCs w:val="10"/>
                <w:color w:val="auto"/>
              </w:rPr>
              <w:t>W. Troy Rudd</w:t>
            </w:r>
          </w:p>
        </w:tc>
        <w:tc>
          <w:tcPr>
            <w:tcW w:w="480" w:type="dxa"/>
            <w:vAlign w:val="bottom"/>
            <w:tcBorders>
              <w:bottom w:val="single" w:sz="8" w:color="00B2E5"/>
              <w:right w:val="single" w:sz="8" w:color="00B2E5"/>
            </w:tcBorders>
          </w:tcPr>
          <w:p>
            <w:pPr>
              <w:jc w:val="right"/>
              <w:ind w:right="151"/>
              <w:spacing w:after="0" w:line="99" w:lineRule="exact"/>
              <w:rPr>
                <w:sz w:val="20"/>
                <w:szCs w:val="20"/>
                <w:color w:val="auto"/>
              </w:rPr>
            </w:pPr>
            <w:r>
              <w:rPr>
                <w:rFonts w:ascii="Arial" w:cs="Arial" w:eastAsia="Arial" w:hAnsi="Arial"/>
                <w:sz w:val="10"/>
                <w:szCs w:val="10"/>
                <w:color w:val="auto"/>
              </w:rPr>
              <w:t>56</w:t>
            </w:r>
          </w:p>
        </w:tc>
        <w:tc>
          <w:tcPr>
            <w:tcW w:w="660" w:type="dxa"/>
            <w:vAlign w:val="bottom"/>
            <w:tcBorders>
              <w:bottom w:val="single" w:sz="8" w:color="00B2E5"/>
              <w:right w:val="single" w:sz="8" w:color="00B2E5"/>
            </w:tcBorders>
          </w:tcPr>
          <w:p>
            <w:pPr>
              <w:jc w:val="center"/>
              <w:ind w:right="31"/>
              <w:spacing w:after="0" w:line="99" w:lineRule="exact"/>
              <w:rPr>
                <w:sz w:val="20"/>
                <w:szCs w:val="20"/>
                <w:color w:val="auto"/>
              </w:rPr>
            </w:pPr>
            <w:r>
              <w:rPr>
                <w:rFonts w:ascii="Arial" w:cs="Arial" w:eastAsia="Arial" w:hAnsi="Arial"/>
                <w:sz w:val="10"/>
                <w:szCs w:val="10"/>
                <w:color w:val="auto"/>
                <w:w w:val="98"/>
              </w:rPr>
              <w:t>2020</w:t>
            </w:r>
          </w:p>
        </w:tc>
        <w:tc>
          <w:tcPr>
            <w:tcW w:w="4560" w:type="dxa"/>
            <w:vAlign w:val="bottom"/>
            <w:tcBorders>
              <w:bottom w:val="single" w:sz="8" w:color="00B2E5"/>
              <w:right w:val="single" w:sz="8" w:color="00B2E5"/>
            </w:tcBorders>
          </w:tcPr>
          <w:p>
            <w:pPr>
              <w:ind w:left="100"/>
              <w:spacing w:after="0" w:line="99" w:lineRule="exact"/>
              <w:rPr>
                <w:sz w:val="20"/>
                <w:szCs w:val="20"/>
                <w:color w:val="auto"/>
              </w:rPr>
            </w:pPr>
            <w:r>
              <w:rPr>
                <w:rFonts w:ascii="Arial" w:cs="Arial" w:eastAsia="Arial" w:hAnsi="Arial"/>
                <w:sz w:val="10"/>
                <w:szCs w:val="10"/>
                <w:color w:val="auto"/>
              </w:rPr>
              <w:t>Chief Executive Officer, AECOM</w:t>
            </w:r>
          </w:p>
        </w:tc>
        <w:tc>
          <w:tcPr>
            <w:tcW w:w="740" w:type="dxa"/>
            <w:vAlign w:val="bottom"/>
            <w:tcBorders>
              <w:bottom w:val="single" w:sz="8" w:color="00B2E5"/>
            </w:tcBorders>
          </w:tcPr>
          <w:p>
            <w:pPr>
              <w:jc w:val="center"/>
              <w:spacing w:after="0" w:line="99" w:lineRule="exact"/>
              <w:rPr>
                <w:sz w:val="20"/>
                <w:szCs w:val="20"/>
                <w:color w:val="auto"/>
              </w:rPr>
            </w:pPr>
            <w:r>
              <w:rPr>
                <w:rFonts w:ascii="Arial" w:cs="Arial" w:eastAsia="Arial" w:hAnsi="Arial"/>
                <w:sz w:val="10"/>
                <w:szCs w:val="10"/>
                <w:color w:val="auto"/>
                <w:w w:val="93"/>
              </w:rPr>
              <w:t>No</w:t>
            </w:r>
          </w:p>
        </w:tc>
        <w:tc>
          <w:tcPr>
            <w:tcW w:w="680" w:type="dxa"/>
            <w:vAlign w:val="bottom"/>
            <w:tcBorders>
              <w:bottom w:val="single" w:sz="8" w:color="00B2E5"/>
            </w:tcBorders>
          </w:tcPr>
          <w:p>
            <w:pPr>
              <w:jc w:val="center"/>
              <w:ind w:left="31"/>
              <w:spacing w:after="0" w:line="99" w:lineRule="exact"/>
              <w:rPr>
                <w:sz w:val="20"/>
                <w:szCs w:val="20"/>
                <w:color w:val="auto"/>
              </w:rPr>
            </w:pPr>
            <w:r>
              <w:rPr>
                <w:rFonts w:ascii="Arial" w:cs="Arial" w:eastAsia="Arial" w:hAnsi="Arial"/>
                <w:sz w:val="10"/>
                <w:szCs w:val="10"/>
                <w:color w:val="auto"/>
              </w:rPr>
              <w:t>None</w:t>
            </w:r>
          </w:p>
        </w:tc>
      </w:tr>
      <w:tr>
        <w:trPr>
          <w:trHeight w:val="98"/>
        </w:trPr>
        <w:tc>
          <w:tcPr>
            <w:tcW w:w="1260" w:type="dxa"/>
            <w:vAlign w:val="bottom"/>
            <w:tcBorders>
              <w:bottom w:val="single" w:sz="8" w:color="00B2E5"/>
              <w:right w:val="single" w:sz="8" w:color="00B2E5"/>
            </w:tcBorders>
            <w:gridSpan w:val="2"/>
          </w:tcPr>
          <w:p>
            <w:pPr>
              <w:spacing w:after="0" w:line="99" w:lineRule="exact"/>
              <w:rPr>
                <w:sz w:val="20"/>
                <w:szCs w:val="20"/>
                <w:color w:val="auto"/>
              </w:rPr>
            </w:pPr>
            <w:r>
              <w:rPr>
                <w:rFonts w:ascii="Arial" w:cs="Arial" w:eastAsia="Arial" w:hAnsi="Arial"/>
                <w:sz w:val="10"/>
                <w:szCs w:val="10"/>
                <w:color w:val="auto"/>
              </w:rPr>
              <w:t>Clarence T. Schmitz</w:t>
            </w:r>
          </w:p>
        </w:tc>
        <w:tc>
          <w:tcPr>
            <w:tcW w:w="480" w:type="dxa"/>
            <w:vAlign w:val="bottom"/>
            <w:tcBorders>
              <w:bottom w:val="single" w:sz="8" w:color="00B2E5"/>
              <w:right w:val="single" w:sz="8" w:color="00B2E5"/>
            </w:tcBorders>
          </w:tcPr>
          <w:p>
            <w:pPr>
              <w:jc w:val="right"/>
              <w:ind w:right="151"/>
              <w:spacing w:after="0" w:line="99" w:lineRule="exact"/>
              <w:rPr>
                <w:sz w:val="20"/>
                <w:szCs w:val="20"/>
                <w:color w:val="auto"/>
              </w:rPr>
            </w:pPr>
            <w:r>
              <w:rPr>
                <w:rFonts w:ascii="Arial" w:cs="Arial" w:eastAsia="Arial" w:hAnsi="Arial"/>
                <w:sz w:val="10"/>
                <w:szCs w:val="10"/>
                <w:color w:val="auto"/>
              </w:rPr>
              <w:t>72</w:t>
            </w:r>
          </w:p>
        </w:tc>
        <w:tc>
          <w:tcPr>
            <w:tcW w:w="660" w:type="dxa"/>
            <w:vAlign w:val="bottom"/>
            <w:tcBorders>
              <w:bottom w:val="single" w:sz="8" w:color="00B2E5"/>
              <w:right w:val="single" w:sz="8" w:color="00B2E5"/>
            </w:tcBorders>
          </w:tcPr>
          <w:p>
            <w:pPr>
              <w:jc w:val="center"/>
              <w:ind w:right="31"/>
              <w:spacing w:after="0" w:line="99" w:lineRule="exact"/>
              <w:rPr>
                <w:sz w:val="20"/>
                <w:szCs w:val="20"/>
                <w:color w:val="auto"/>
              </w:rPr>
            </w:pPr>
            <w:r>
              <w:rPr>
                <w:rFonts w:ascii="Arial" w:cs="Arial" w:eastAsia="Arial" w:hAnsi="Arial"/>
                <w:sz w:val="10"/>
                <w:szCs w:val="10"/>
                <w:color w:val="auto"/>
                <w:w w:val="98"/>
              </w:rPr>
              <w:t>2014</w:t>
            </w:r>
          </w:p>
        </w:tc>
        <w:tc>
          <w:tcPr>
            <w:tcW w:w="4560" w:type="dxa"/>
            <w:vAlign w:val="bottom"/>
            <w:tcBorders>
              <w:bottom w:val="single" w:sz="8" w:color="00B2E5"/>
              <w:right w:val="single" w:sz="8" w:color="00B2E5"/>
            </w:tcBorders>
          </w:tcPr>
          <w:p>
            <w:pPr>
              <w:ind w:left="100"/>
              <w:spacing w:after="0" w:line="99" w:lineRule="exact"/>
              <w:rPr>
                <w:sz w:val="20"/>
                <w:szCs w:val="20"/>
                <w:color w:val="auto"/>
              </w:rPr>
            </w:pPr>
            <w:r>
              <w:rPr>
                <w:rFonts w:ascii="Arial" w:cs="Arial" w:eastAsia="Arial" w:hAnsi="Arial"/>
                <w:sz w:val="10"/>
                <w:szCs w:val="10"/>
                <w:color w:val="auto"/>
              </w:rPr>
              <w:t>Co-Founder and Former Chief Executive Officer, Outsource Partners International Inc.</w:t>
            </w:r>
          </w:p>
        </w:tc>
        <w:tc>
          <w:tcPr>
            <w:tcW w:w="740" w:type="dxa"/>
            <w:vAlign w:val="bottom"/>
            <w:tcBorders>
              <w:bottom w:val="single" w:sz="8" w:color="00B2E5"/>
            </w:tcBorders>
          </w:tcPr>
          <w:p>
            <w:pPr>
              <w:jc w:val="center"/>
              <w:spacing w:after="0" w:line="99" w:lineRule="exact"/>
              <w:rPr>
                <w:sz w:val="20"/>
                <w:szCs w:val="20"/>
                <w:color w:val="auto"/>
              </w:rPr>
            </w:pPr>
            <w:r>
              <w:rPr>
                <w:rFonts w:ascii="Arial" w:cs="Arial" w:eastAsia="Arial" w:hAnsi="Arial"/>
                <w:sz w:val="10"/>
                <w:szCs w:val="10"/>
                <w:color w:val="auto"/>
                <w:w w:val="92"/>
              </w:rPr>
              <w:t>Yes</w:t>
            </w:r>
          </w:p>
        </w:tc>
        <w:tc>
          <w:tcPr>
            <w:tcW w:w="680" w:type="dxa"/>
            <w:vAlign w:val="bottom"/>
            <w:tcBorders>
              <w:bottom w:val="single" w:sz="8" w:color="00B2E5"/>
            </w:tcBorders>
          </w:tcPr>
          <w:p>
            <w:pPr>
              <w:jc w:val="center"/>
              <w:ind w:left="31"/>
              <w:spacing w:after="0" w:line="99" w:lineRule="exact"/>
              <w:rPr>
                <w:sz w:val="20"/>
                <w:szCs w:val="20"/>
                <w:color w:val="auto"/>
              </w:rPr>
            </w:pPr>
            <w:r>
              <w:rPr>
                <w:rFonts w:ascii="Arial" w:cs="Arial" w:eastAsia="Arial" w:hAnsi="Arial"/>
                <w:sz w:val="10"/>
                <w:szCs w:val="10"/>
                <w:color w:val="auto"/>
              </w:rPr>
              <w:t>A*, CO</w:t>
            </w:r>
          </w:p>
        </w:tc>
      </w:tr>
      <w:tr>
        <w:trPr>
          <w:trHeight w:val="117"/>
        </w:trPr>
        <w:tc>
          <w:tcPr>
            <w:tcW w:w="1260" w:type="dxa"/>
            <w:vAlign w:val="bottom"/>
            <w:tcBorders>
              <w:bottom w:val="single" w:sz="8" w:color="00B2E5"/>
              <w:right w:val="single" w:sz="8" w:color="00B2E5"/>
            </w:tcBorders>
            <w:gridSpan w:val="2"/>
          </w:tcPr>
          <w:p>
            <w:pPr>
              <w:spacing w:after="0" w:line="117" w:lineRule="exact"/>
              <w:rPr>
                <w:sz w:val="20"/>
                <w:szCs w:val="20"/>
                <w:color w:val="auto"/>
              </w:rPr>
            </w:pPr>
            <w:r>
              <w:rPr>
                <w:rFonts w:ascii="Arial" w:cs="Arial" w:eastAsia="Arial" w:hAnsi="Arial"/>
                <w:sz w:val="9"/>
                <w:szCs w:val="9"/>
                <w:color w:val="auto"/>
              </w:rPr>
              <w:t>Douglas W. Stotlar</w:t>
            </w:r>
            <w:r>
              <w:rPr>
                <w:rFonts w:ascii="Arial" w:cs="Arial" w:eastAsia="Arial" w:hAnsi="Arial"/>
                <w:sz w:val="13"/>
                <w:szCs w:val="13"/>
                <w:color w:val="auto"/>
                <w:vertAlign w:val="superscript"/>
              </w:rPr>
              <w:t>†</w:t>
            </w:r>
          </w:p>
        </w:tc>
        <w:tc>
          <w:tcPr>
            <w:tcW w:w="480" w:type="dxa"/>
            <w:vAlign w:val="bottom"/>
            <w:tcBorders>
              <w:bottom w:val="single" w:sz="8" w:color="00B2E5"/>
              <w:right w:val="single" w:sz="8" w:color="00B2E5"/>
            </w:tcBorders>
          </w:tcPr>
          <w:p>
            <w:pPr>
              <w:jc w:val="right"/>
              <w:ind w:right="151"/>
              <w:spacing w:after="0"/>
              <w:rPr>
                <w:sz w:val="20"/>
                <w:szCs w:val="20"/>
                <w:color w:val="auto"/>
              </w:rPr>
            </w:pPr>
            <w:r>
              <w:rPr>
                <w:rFonts w:ascii="Arial" w:cs="Arial" w:eastAsia="Arial" w:hAnsi="Arial"/>
                <w:sz w:val="10"/>
                <w:szCs w:val="10"/>
                <w:color w:val="auto"/>
              </w:rPr>
              <w:t>60</w:t>
            </w:r>
          </w:p>
        </w:tc>
        <w:tc>
          <w:tcPr>
            <w:tcW w:w="660" w:type="dxa"/>
            <w:vAlign w:val="bottom"/>
            <w:tcBorders>
              <w:bottom w:val="single" w:sz="8" w:color="00B2E5"/>
              <w:right w:val="single" w:sz="8" w:color="00B2E5"/>
            </w:tcBorders>
          </w:tcPr>
          <w:p>
            <w:pPr>
              <w:jc w:val="center"/>
              <w:ind w:right="31"/>
              <w:spacing w:after="0"/>
              <w:rPr>
                <w:sz w:val="20"/>
                <w:szCs w:val="20"/>
                <w:color w:val="auto"/>
              </w:rPr>
            </w:pPr>
            <w:r>
              <w:rPr>
                <w:rFonts w:ascii="Arial" w:cs="Arial" w:eastAsia="Arial" w:hAnsi="Arial"/>
                <w:sz w:val="10"/>
                <w:szCs w:val="10"/>
                <w:color w:val="auto"/>
                <w:w w:val="98"/>
              </w:rPr>
              <w:t>2014</w:t>
            </w:r>
          </w:p>
        </w:tc>
        <w:tc>
          <w:tcPr>
            <w:tcW w:w="4560" w:type="dxa"/>
            <w:vAlign w:val="bottom"/>
            <w:tcBorders>
              <w:bottom w:val="single" w:sz="8" w:color="00B2E5"/>
              <w:right w:val="single" w:sz="8" w:color="00B2E5"/>
            </w:tcBorders>
          </w:tcPr>
          <w:p>
            <w:pPr>
              <w:ind w:left="100"/>
              <w:spacing w:after="0"/>
              <w:rPr>
                <w:sz w:val="20"/>
                <w:szCs w:val="20"/>
                <w:color w:val="auto"/>
              </w:rPr>
            </w:pPr>
            <w:r>
              <w:rPr>
                <w:rFonts w:ascii="Arial" w:cs="Arial" w:eastAsia="Arial" w:hAnsi="Arial"/>
                <w:sz w:val="10"/>
                <w:szCs w:val="10"/>
                <w:color w:val="auto"/>
              </w:rPr>
              <w:t>Former President and Chief Executive Officer, Con-way Inc.</w:t>
            </w:r>
          </w:p>
        </w:tc>
        <w:tc>
          <w:tcPr>
            <w:tcW w:w="740" w:type="dxa"/>
            <w:vAlign w:val="bottom"/>
            <w:tcBorders>
              <w:bottom w:val="single" w:sz="8" w:color="00B2E5"/>
            </w:tcBorders>
          </w:tcPr>
          <w:p>
            <w:pPr>
              <w:jc w:val="center"/>
              <w:spacing w:after="0"/>
              <w:rPr>
                <w:sz w:val="20"/>
                <w:szCs w:val="20"/>
                <w:color w:val="auto"/>
              </w:rPr>
            </w:pPr>
            <w:r>
              <w:rPr>
                <w:rFonts w:ascii="Arial" w:cs="Arial" w:eastAsia="Arial" w:hAnsi="Arial"/>
                <w:sz w:val="10"/>
                <w:szCs w:val="10"/>
                <w:color w:val="auto"/>
                <w:w w:val="92"/>
              </w:rPr>
              <w:t>Yes</w:t>
            </w:r>
          </w:p>
        </w:tc>
        <w:tc>
          <w:tcPr>
            <w:tcW w:w="680" w:type="dxa"/>
            <w:vAlign w:val="bottom"/>
            <w:tcBorders>
              <w:bottom w:val="single" w:sz="8" w:color="00B2E5"/>
            </w:tcBorders>
          </w:tcPr>
          <w:p>
            <w:pPr>
              <w:jc w:val="center"/>
              <w:ind w:left="31"/>
              <w:spacing w:after="0"/>
              <w:rPr>
                <w:sz w:val="20"/>
                <w:szCs w:val="20"/>
                <w:color w:val="auto"/>
              </w:rPr>
            </w:pPr>
            <w:r>
              <w:rPr>
                <w:rFonts w:ascii="Arial" w:cs="Arial" w:eastAsia="Arial" w:hAnsi="Arial"/>
                <w:sz w:val="10"/>
                <w:szCs w:val="10"/>
                <w:color w:val="auto"/>
              </w:rPr>
              <w:t>A, NG*</w:t>
            </w:r>
          </w:p>
        </w:tc>
      </w:tr>
      <w:tr>
        <w:trPr>
          <w:trHeight w:val="98"/>
        </w:trPr>
        <w:tc>
          <w:tcPr>
            <w:tcW w:w="1260" w:type="dxa"/>
            <w:vAlign w:val="bottom"/>
            <w:tcBorders>
              <w:bottom w:val="single" w:sz="8" w:color="00B2E5"/>
              <w:right w:val="single" w:sz="8" w:color="00B2E5"/>
            </w:tcBorders>
            <w:gridSpan w:val="2"/>
          </w:tcPr>
          <w:p>
            <w:pPr>
              <w:spacing w:after="0" w:line="99" w:lineRule="exact"/>
              <w:rPr>
                <w:sz w:val="20"/>
                <w:szCs w:val="20"/>
                <w:color w:val="auto"/>
              </w:rPr>
            </w:pPr>
            <w:r>
              <w:rPr>
                <w:rFonts w:ascii="Arial" w:cs="Arial" w:eastAsia="Arial" w:hAnsi="Arial"/>
                <w:sz w:val="10"/>
                <w:szCs w:val="10"/>
                <w:color w:val="auto"/>
              </w:rPr>
              <w:t>Daniel R. Tishman</w:t>
            </w:r>
          </w:p>
        </w:tc>
        <w:tc>
          <w:tcPr>
            <w:tcW w:w="480" w:type="dxa"/>
            <w:vAlign w:val="bottom"/>
            <w:tcBorders>
              <w:bottom w:val="single" w:sz="8" w:color="00B2E5"/>
              <w:right w:val="single" w:sz="8" w:color="00B2E5"/>
            </w:tcBorders>
          </w:tcPr>
          <w:p>
            <w:pPr>
              <w:jc w:val="right"/>
              <w:ind w:right="151"/>
              <w:spacing w:after="0" w:line="99" w:lineRule="exact"/>
              <w:rPr>
                <w:sz w:val="20"/>
                <w:szCs w:val="20"/>
                <w:color w:val="auto"/>
              </w:rPr>
            </w:pPr>
            <w:r>
              <w:rPr>
                <w:rFonts w:ascii="Arial" w:cs="Arial" w:eastAsia="Arial" w:hAnsi="Arial"/>
                <w:sz w:val="10"/>
                <w:szCs w:val="10"/>
                <w:color w:val="auto"/>
              </w:rPr>
              <w:t>65</w:t>
            </w:r>
          </w:p>
        </w:tc>
        <w:tc>
          <w:tcPr>
            <w:tcW w:w="660" w:type="dxa"/>
            <w:vAlign w:val="bottom"/>
            <w:tcBorders>
              <w:bottom w:val="single" w:sz="8" w:color="00B2E5"/>
              <w:right w:val="single" w:sz="8" w:color="00B2E5"/>
            </w:tcBorders>
          </w:tcPr>
          <w:p>
            <w:pPr>
              <w:jc w:val="center"/>
              <w:ind w:right="31"/>
              <w:spacing w:after="0" w:line="99" w:lineRule="exact"/>
              <w:rPr>
                <w:sz w:val="20"/>
                <w:szCs w:val="20"/>
                <w:color w:val="auto"/>
              </w:rPr>
            </w:pPr>
            <w:r>
              <w:rPr>
                <w:rFonts w:ascii="Arial" w:cs="Arial" w:eastAsia="Arial" w:hAnsi="Arial"/>
                <w:sz w:val="10"/>
                <w:szCs w:val="10"/>
                <w:color w:val="auto"/>
                <w:w w:val="98"/>
              </w:rPr>
              <w:t>2010</w:t>
            </w:r>
          </w:p>
        </w:tc>
        <w:tc>
          <w:tcPr>
            <w:tcW w:w="4560" w:type="dxa"/>
            <w:vAlign w:val="bottom"/>
            <w:tcBorders>
              <w:bottom w:val="single" w:sz="8" w:color="00B2E5"/>
              <w:right w:val="single" w:sz="8" w:color="00B2E5"/>
            </w:tcBorders>
          </w:tcPr>
          <w:p>
            <w:pPr>
              <w:ind w:left="100"/>
              <w:spacing w:after="0" w:line="99" w:lineRule="exact"/>
              <w:rPr>
                <w:sz w:val="20"/>
                <w:szCs w:val="20"/>
                <w:color w:val="auto"/>
              </w:rPr>
            </w:pPr>
            <w:r>
              <w:rPr>
                <w:rFonts w:ascii="Arial" w:cs="Arial" w:eastAsia="Arial" w:hAnsi="Arial"/>
                <w:sz w:val="10"/>
                <w:szCs w:val="10"/>
                <w:color w:val="auto"/>
              </w:rPr>
              <w:t>Chairman and Executive Vice President of Tishman Holdings Corporation</w:t>
            </w:r>
          </w:p>
        </w:tc>
        <w:tc>
          <w:tcPr>
            <w:tcW w:w="740" w:type="dxa"/>
            <w:vAlign w:val="bottom"/>
            <w:tcBorders>
              <w:bottom w:val="single" w:sz="8" w:color="00B2E5"/>
            </w:tcBorders>
          </w:tcPr>
          <w:p>
            <w:pPr>
              <w:jc w:val="center"/>
              <w:spacing w:after="0" w:line="99" w:lineRule="exact"/>
              <w:rPr>
                <w:sz w:val="20"/>
                <w:szCs w:val="20"/>
                <w:color w:val="auto"/>
              </w:rPr>
            </w:pPr>
            <w:r>
              <w:rPr>
                <w:rFonts w:ascii="Arial" w:cs="Arial" w:eastAsia="Arial" w:hAnsi="Arial"/>
                <w:sz w:val="10"/>
                <w:szCs w:val="10"/>
                <w:color w:val="auto"/>
                <w:w w:val="93"/>
              </w:rPr>
              <w:t>No</w:t>
            </w:r>
          </w:p>
        </w:tc>
        <w:tc>
          <w:tcPr>
            <w:tcW w:w="680" w:type="dxa"/>
            <w:vAlign w:val="bottom"/>
            <w:tcBorders>
              <w:bottom w:val="single" w:sz="8" w:color="00B2E5"/>
            </w:tcBorders>
          </w:tcPr>
          <w:p>
            <w:pPr>
              <w:jc w:val="center"/>
              <w:ind w:left="31"/>
              <w:spacing w:after="0" w:line="99" w:lineRule="exact"/>
              <w:rPr>
                <w:sz w:val="20"/>
                <w:szCs w:val="20"/>
                <w:color w:val="auto"/>
              </w:rPr>
            </w:pPr>
            <w:r>
              <w:rPr>
                <w:rFonts w:ascii="Arial" w:cs="Arial" w:eastAsia="Arial" w:hAnsi="Arial"/>
                <w:sz w:val="10"/>
                <w:szCs w:val="10"/>
                <w:color w:val="auto"/>
                <w:w w:val="97"/>
              </w:rPr>
              <w:t>SRS</w:t>
            </w:r>
          </w:p>
        </w:tc>
      </w:tr>
      <w:tr>
        <w:trPr>
          <w:trHeight w:val="90"/>
        </w:trPr>
        <w:tc>
          <w:tcPr>
            <w:tcW w:w="1260" w:type="dxa"/>
            <w:vAlign w:val="bottom"/>
            <w:tcBorders>
              <w:right w:val="single" w:sz="8" w:color="00B2E5"/>
            </w:tcBorders>
            <w:gridSpan w:val="2"/>
          </w:tcPr>
          <w:p>
            <w:pPr>
              <w:spacing w:after="0" w:line="90" w:lineRule="exact"/>
              <w:rPr>
                <w:sz w:val="20"/>
                <w:szCs w:val="20"/>
                <w:color w:val="auto"/>
              </w:rPr>
            </w:pPr>
            <w:r>
              <w:rPr>
                <w:rFonts w:ascii="Arial" w:cs="Arial" w:eastAsia="Arial" w:hAnsi="Arial"/>
                <w:sz w:val="10"/>
                <w:szCs w:val="10"/>
                <w:color w:val="auto"/>
              </w:rPr>
              <w:t>General Janet C.</w:t>
            </w:r>
          </w:p>
        </w:tc>
        <w:tc>
          <w:tcPr>
            <w:tcW w:w="480" w:type="dxa"/>
            <w:vAlign w:val="bottom"/>
            <w:tcBorders>
              <w:right w:val="single" w:sz="8" w:color="00B2E5"/>
            </w:tcBorders>
          </w:tcPr>
          <w:p>
            <w:pPr>
              <w:jc w:val="right"/>
              <w:ind w:right="151"/>
              <w:spacing w:after="0" w:line="90" w:lineRule="exact"/>
              <w:rPr>
                <w:sz w:val="20"/>
                <w:szCs w:val="20"/>
                <w:color w:val="auto"/>
              </w:rPr>
            </w:pPr>
            <w:r>
              <w:rPr>
                <w:rFonts w:ascii="Arial" w:cs="Arial" w:eastAsia="Arial" w:hAnsi="Arial"/>
                <w:sz w:val="10"/>
                <w:szCs w:val="10"/>
                <w:color w:val="auto"/>
              </w:rPr>
              <w:t>62</w:t>
            </w:r>
          </w:p>
        </w:tc>
        <w:tc>
          <w:tcPr>
            <w:tcW w:w="660" w:type="dxa"/>
            <w:vAlign w:val="bottom"/>
            <w:tcBorders>
              <w:right w:val="single" w:sz="8" w:color="00B2E5"/>
            </w:tcBorders>
          </w:tcPr>
          <w:p>
            <w:pPr>
              <w:jc w:val="center"/>
              <w:ind w:right="31"/>
              <w:spacing w:after="0" w:line="90" w:lineRule="exact"/>
              <w:rPr>
                <w:sz w:val="20"/>
                <w:szCs w:val="20"/>
                <w:color w:val="auto"/>
              </w:rPr>
            </w:pPr>
            <w:r>
              <w:rPr>
                <w:rFonts w:ascii="Arial" w:cs="Arial" w:eastAsia="Arial" w:hAnsi="Arial"/>
                <w:sz w:val="10"/>
                <w:szCs w:val="10"/>
                <w:color w:val="auto"/>
                <w:w w:val="98"/>
              </w:rPr>
              <w:t>2015</w:t>
            </w:r>
          </w:p>
        </w:tc>
        <w:tc>
          <w:tcPr>
            <w:tcW w:w="4560" w:type="dxa"/>
            <w:vAlign w:val="bottom"/>
            <w:tcBorders>
              <w:right w:val="single" w:sz="8" w:color="00B2E5"/>
            </w:tcBorders>
          </w:tcPr>
          <w:p>
            <w:pPr>
              <w:ind w:left="100"/>
              <w:spacing w:after="0" w:line="90" w:lineRule="exact"/>
              <w:rPr>
                <w:sz w:val="20"/>
                <w:szCs w:val="20"/>
                <w:color w:val="auto"/>
              </w:rPr>
            </w:pPr>
            <w:r>
              <w:rPr>
                <w:rFonts w:ascii="Arial" w:cs="Arial" w:eastAsia="Arial" w:hAnsi="Arial"/>
                <w:sz w:val="10"/>
                <w:szCs w:val="10"/>
                <w:color w:val="auto"/>
              </w:rPr>
              <w:t>General (Retired), United States Air Force</w:t>
            </w:r>
          </w:p>
        </w:tc>
        <w:tc>
          <w:tcPr>
            <w:tcW w:w="740" w:type="dxa"/>
            <w:vAlign w:val="bottom"/>
          </w:tcPr>
          <w:p>
            <w:pPr>
              <w:jc w:val="center"/>
              <w:spacing w:after="0" w:line="90" w:lineRule="exact"/>
              <w:rPr>
                <w:sz w:val="20"/>
                <w:szCs w:val="20"/>
                <w:color w:val="auto"/>
              </w:rPr>
            </w:pPr>
            <w:r>
              <w:rPr>
                <w:rFonts w:ascii="Arial" w:cs="Arial" w:eastAsia="Arial" w:hAnsi="Arial"/>
                <w:sz w:val="10"/>
                <w:szCs w:val="10"/>
                <w:color w:val="auto"/>
                <w:w w:val="92"/>
              </w:rPr>
              <w:t>Yes</w:t>
            </w:r>
          </w:p>
        </w:tc>
        <w:tc>
          <w:tcPr>
            <w:tcW w:w="680" w:type="dxa"/>
            <w:vAlign w:val="bottom"/>
          </w:tcPr>
          <w:p>
            <w:pPr>
              <w:jc w:val="center"/>
              <w:ind w:left="31"/>
              <w:spacing w:after="0" w:line="90" w:lineRule="exact"/>
              <w:rPr>
                <w:sz w:val="20"/>
                <w:szCs w:val="20"/>
                <w:color w:val="auto"/>
              </w:rPr>
            </w:pPr>
            <w:r>
              <w:rPr>
                <w:rFonts w:ascii="Arial" w:cs="Arial" w:eastAsia="Arial" w:hAnsi="Arial"/>
                <w:sz w:val="10"/>
                <w:szCs w:val="10"/>
                <w:color w:val="auto"/>
                <w:w w:val="97"/>
              </w:rPr>
              <w:t>NG, SRS</w:t>
            </w:r>
          </w:p>
        </w:tc>
      </w:tr>
      <w:tr>
        <w:trPr>
          <w:trHeight w:val="118"/>
        </w:trPr>
        <w:tc>
          <w:tcPr>
            <w:tcW w:w="1260" w:type="dxa"/>
            <w:vAlign w:val="bottom"/>
            <w:tcBorders>
              <w:right w:val="single" w:sz="8" w:color="00B2E5"/>
            </w:tcBorders>
            <w:gridSpan w:val="2"/>
          </w:tcPr>
          <w:p>
            <w:pPr>
              <w:spacing w:after="0"/>
              <w:rPr>
                <w:sz w:val="20"/>
                <w:szCs w:val="20"/>
                <w:color w:val="auto"/>
              </w:rPr>
            </w:pPr>
            <w:r>
              <w:rPr>
                <w:rFonts w:ascii="Arial" w:cs="Arial" w:eastAsia="Arial" w:hAnsi="Arial"/>
                <w:sz w:val="10"/>
                <w:szCs w:val="10"/>
                <w:color w:val="auto"/>
              </w:rPr>
              <w:t>Wolfenbarger</w:t>
            </w:r>
          </w:p>
        </w:tc>
        <w:tc>
          <w:tcPr>
            <w:tcW w:w="480" w:type="dxa"/>
            <w:vAlign w:val="bottom"/>
            <w:tcBorders>
              <w:right w:val="single" w:sz="8" w:color="00B2E5"/>
            </w:tcBorders>
          </w:tcPr>
          <w:p>
            <w:pPr>
              <w:spacing w:after="0"/>
              <w:rPr>
                <w:sz w:val="10"/>
                <w:szCs w:val="10"/>
                <w:color w:val="auto"/>
              </w:rPr>
            </w:pPr>
          </w:p>
        </w:tc>
        <w:tc>
          <w:tcPr>
            <w:tcW w:w="660" w:type="dxa"/>
            <w:vAlign w:val="bottom"/>
            <w:tcBorders>
              <w:right w:val="single" w:sz="8" w:color="00B2E5"/>
            </w:tcBorders>
          </w:tcPr>
          <w:p>
            <w:pPr>
              <w:spacing w:after="0"/>
              <w:rPr>
                <w:sz w:val="10"/>
                <w:szCs w:val="10"/>
                <w:color w:val="auto"/>
              </w:rPr>
            </w:pPr>
          </w:p>
        </w:tc>
        <w:tc>
          <w:tcPr>
            <w:tcW w:w="4560" w:type="dxa"/>
            <w:vAlign w:val="bottom"/>
            <w:tcBorders>
              <w:right w:val="single" w:sz="8" w:color="00B2E5"/>
            </w:tcBorders>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right w:val="single" w:sz="8" w:color="00B2E5"/>
            </w:tcBorders>
            <w:shd w:val="clear" w:color="auto" w:fill="00B2E5"/>
          </w:tcPr>
          <w:p>
            <w:pPr>
              <w:spacing w:after="0" w:line="20" w:lineRule="exact"/>
              <w:rPr>
                <w:sz w:val="1"/>
                <w:szCs w:val="1"/>
                <w:color w:val="auto"/>
              </w:rPr>
            </w:pPr>
          </w:p>
        </w:tc>
        <w:tc>
          <w:tcPr>
            <w:tcW w:w="480" w:type="dxa"/>
            <w:vAlign w:val="bottom"/>
            <w:tcBorders>
              <w:right w:val="single" w:sz="8" w:color="00B2E5"/>
            </w:tcBorders>
            <w:shd w:val="clear" w:color="auto" w:fill="00B2E5"/>
          </w:tcPr>
          <w:p>
            <w:pPr>
              <w:spacing w:after="0" w:line="20" w:lineRule="exact"/>
              <w:rPr>
                <w:sz w:val="1"/>
                <w:szCs w:val="1"/>
                <w:color w:val="auto"/>
              </w:rPr>
            </w:pPr>
          </w:p>
        </w:tc>
        <w:tc>
          <w:tcPr>
            <w:tcW w:w="660" w:type="dxa"/>
            <w:vAlign w:val="bottom"/>
            <w:tcBorders>
              <w:right w:val="single" w:sz="8" w:color="00B2E5"/>
            </w:tcBorders>
            <w:shd w:val="clear" w:color="auto" w:fill="00B2E5"/>
          </w:tcPr>
          <w:p>
            <w:pPr>
              <w:spacing w:after="0" w:line="20" w:lineRule="exact"/>
              <w:rPr>
                <w:sz w:val="1"/>
                <w:szCs w:val="1"/>
                <w:color w:val="auto"/>
              </w:rPr>
            </w:pPr>
          </w:p>
        </w:tc>
        <w:tc>
          <w:tcPr>
            <w:tcW w:w="4560" w:type="dxa"/>
            <w:vAlign w:val="bottom"/>
            <w:tcBorders>
              <w:right w:val="single" w:sz="8" w:color="00B2E5"/>
            </w:tcBorders>
            <w:shd w:val="clear" w:color="auto" w:fill="00B2E5"/>
          </w:tcPr>
          <w:p>
            <w:pPr>
              <w:spacing w:after="0" w:line="20" w:lineRule="exact"/>
              <w:rPr>
                <w:sz w:val="1"/>
                <w:szCs w:val="1"/>
                <w:color w:val="auto"/>
              </w:rPr>
            </w:pPr>
          </w:p>
        </w:tc>
        <w:tc>
          <w:tcPr>
            <w:tcW w:w="740" w:type="dxa"/>
            <w:vAlign w:val="bottom"/>
            <w:shd w:val="clear" w:color="auto" w:fill="00B2E5"/>
          </w:tcPr>
          <w:p>
            <w:pPr>
              <w:spacing w:after="0" w:line="20" w:lineRule="exact"/>
              <w:rPr>
                <w:sz w:val="1"/>
                <w:szCs w:val="1"/>
                <w:color w:val="auto"/>
              </w:rPr>
            </w:pPr>
          </w:p>
        </w:tc>
        <w:tc>
          <w:tcPr>
            <w:tcW w:w="680" w:type="dxa"/>
            <w:vAlign w:val="bottom"/>
            <w:shd w:val="clear" w:color="auto" w:fill="00B2E5"/>
          </w:tcPr>
          <w:p>
            <w:pPr>
              <w:spacing w:after="0" w:line="20" w:lineRule="exact"/>
              <w:rPr>
                <w:sz w:val="1"/>
                <w:szCs w:val="1"/>
                <w:color w:val="auto"/>
              </w:rPr>
            </w:pPr>
          </w:p>
        </w:tc>
      </w:tr>
    </w:tbl>
    <w:p>
      <w:pPr>
        <w:spacing w:after="0" w:line="137" w:lineRule="exact"/>
        <w:rPr>
          <w:sz w:val="20"/>
          <w:szCs w:val="20"/>
          <w:color w:val="auto"/>
        </w:rPr>
      </w:pPr>
    </w:p>
    <w:p>
      <w:pPr>
        <w:ind w:left="1720" w:hanging="371"/>
        <w:spacing w:after="0"/>
        <w:tabs>
          <w:tab w:leader="none" w:pos="1720" w:val="left"/>
        </w:tabs>
        <w:numPr>
          <w:ilvl w:val="0"/>
          <w:numId w:val="8"/>
        </w:numPr>
        <w:rPr>
          <w:rFonts w:ascii="Arial" w:cs="Arial" w:eastAsia="Arial" w:hAnsi="Arial"/>
          <w:sz w:val="10"/>
          <w:szCs w:val="10"/>
          <w:color w:val="auto"/>
        </w:rPr>
      </w:pPr>
      <w:r>
        <w:rPr>
          <w:rFonts w:ascii="Arial" w:cs="Arial" w:eastAsia="Arial" w:hAnsi="Arial"/>
          <w:sz w:val="10"/>
          <w:szCs w:val="10"/>
          <w:color w:val="auto"/>
        </w:rPr>
        <w:t>Mr. Kandarian and Dr. Routs will not stand for re-election at the 2021 Annual Meeting</w:t>
      </w:r>
    </w:p>
    <w:p>
      <w:pPr>
        <w:sectPr>
          <w:pgSz w:w="11900" w:h="16838" w:orient="portrait"/>
          <w:cols w:equalWidth="0" w:num="1">
            <w:col w:w="11300"/>
          </w:cols>
          <w:pgMar w:left="300" w:top="128" w:right="299" w:bottom="1440" w:gutter="0" w:footer="0" w:header="0"/>
        </w:sectPr>
      </w:pPr>
    </w:p>
    <w:p>
      <w:pPr>
        <w:spacing w:after="0" w:line="140"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A = Audit Committee</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9"/>
          <w:szCs w:val="9"/>
          <w:color w:val="auto"/>
        </w:rPr>
        <w:t>CO = Compensation and Organization Committee</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NG = Nominating and Governance Committee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auto"/>
        </w:rPr>
        <w:t>SRS = Safety, Risk and Sustainability Committee</w:t>
      </w:r>
    </w:p>
    <w:p>
      <w:pPr>
        <w:spacing w:after="0" w:line="12" w:lineRule="exact"/>
        <w:rPr>
          <w:sz w:val="20"/>
          <w:szCs w:val="20"/>
          <w:color w:val="auto"/>
        </w:rPr>
      </w:pPr>
    </w:p>
    <w:p>
      <w:pPr>
        <w:spacing w:after="0"/>
        <w:rPr>
          <w:sz w:val="20"/>
          <w:szCs w:val="20"/>
          <w:color w:val="auto"/>
        </w:rPr>
      </w:pPr>
      <w:r>
        <w:rPr>
          <w:rFonts w:ascii="Arial" w:cs="Arial" w:eastAsia="Arial" w:hAnsi="Arial"/>
          <w:sz w:val="10"/>
          <w:szCs w:val="10"/>
          <w:color w:val="auto"/>
        </w:rPr>
        <w:t>* = Committee Chair</w:t>
      </w:r>
    </w:p>
    <w:p>
      <w:pPr>
        <w:spacing w:after="0"/>
        <w:rPr>
          <w:sz w:val="20"/>
          <w:szCs w:val="20"/>
          <w:color w:val="auto"/>
        </w:rPr>
      </w:pPr>
      <w:r>
        <w:rPr>
          <w:rFonts w:ascii="Arial" w:cs="Arial" w:eastAsia="Arial" w:hAnsi="Arial"/>
          <w:sz w:val="10"/>
          <w:szCs w:val="10"/>
          <w:color w:val="auto"/>
        </w:rPr>
        <w:t>† = Chairman of the Board</w:t>
      </w:r>
    </w:p>
    <w:p>
      <w:pPr>
        <w:spacing w:after="0" w:line="113" w:lineRule="exact"/>
        <w:rPr>
          <w:sz w:val="20"/>
          <w:szCs w:val="20"/>
          <w:color w:val="auto"/>
        </w:rPr>
      </w:pPr>
    </w:p>
    <w:p>
      <w:pPr>
        <w:sectPr>
          <w:pgSz w:w="11900" w:h="16838" w:orient="portrait"/>
          <w:cols w:equalWidth="0" w:num="2">
            <w:col w:w="5200" w:space="720"/>
            <w:col w:w="5380"/>
          </w:cols>
          <w:pgMar w:left="300" w:top="128" w:right="299" w:bottom="1440" w:gutter="0" w:footer="0" w:header="0"/>
          <w:type w:val="continuous"/>
        </w:sectPr>
      </w:pPr>
    </w:p>
    <w:p>
      <w:pPr>
        <w:spacing w:after="0"/>
        <w:rPr>
          <w:sz w:val="20"/>
          <w:szCs w:val="20"/>
          <w:color w:val="auto"/>
        </w:rPr>
      </w:pPr>
      <w:r>
        <w:rPr>
          <w:rFonts w:ascii="Arial" w:cs="Arial" w:eastAsia="Arial" w:hAnsi="Arial"/>
          <w:sz w:val="15"/>
          <w:szCs w:val="15"/>
          <w:b w:val="1"/>
          <w:bCs w:val="1"/>
          <w:color w:val="00B2E5"/>
        </w:rPr>
        <w:t>Recent Corporate Governance Actions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AECOM prioritizes direct engagement between management and the Board with our stockholders. As a result, several significant corporate governance actions have been implemented over the last several years. These actions include separating the roles of Chairman and CEO in August 2020, strengthening commitments to Board diversity and Environmental, Social and Governance (ESG) initiatives, adopting majority voting in uncontested director elections, adopting proxy access, providing stockholders with a right to call a special meeting, and removing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type w:val="continuous"/>
        </w:sectPr>
      </w:pPr>
    </w:p>
    <w:bookmarkStart w:id="26" w:name="page27"/>
    <w:bookmarkEnd w:id="26"/>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supermajority provisions to approve business combinations. These actions safeguard and promote the long-term interests of AECOM and all stockholders.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200" w:type="dxa"/>
            <w:vAlign w:val="bottom"/>
            <w:tcBorders>
              <w:top w:val="single" w:sz="8" w:color="00B2E5"/>
              <w:right w:val="single" w:sz="8" w:color="63C1DF"/>
            </w:tcBorders>
          </w:tcPr>
          <w:p>
            <w:pPr>
              <w:ind w:left="220"/>
              <w:spacing w:after="0"/>
              <w:rPr>
                <w:sz w:val="20"/>
                <w:szCs w:val="20"/>
                <w:color w:val="auto"/>
              </w:rPr>
            </w:pPr>
            <w:r>
              <w:rPr>
                <w:rFonts w:ascii="Arial" w:cs="Arial" w:eastAsia="Arial" w:hAnsi="Arial"/>
                <w:sz w:val="12"/>
                <w:szCs w:val="12"/>
                <w:b w:val="1"/>
                <w:bCs w:val="1"/>
                <w:color w:val="auto"/>
              </w:rPr>
              <w:t>Separation of Chairman and</w:t>
            </w:r>
          </w:p>
        </w:tc>
        <w:tc>
          <w:tcPr>
            <w:tcW w:w="620" w:type="dxa"/>
            <w:vAlign w:val="bottom"/>
            <w:tcBorders>
              <w:top w:val="single" w:sz="8" w:color="00B2E5"/>
              <w:right w:val="single" w:sz="8" w:color="63C1DF"/>
            </w:tcBorders>
            <w:vMerge w:val="restart"/>
          </w:tcPr>
          <w:p>
            <w:pPr>
              <w:jc w:val="right"/>
              <w:ind w:right="181"/>
              <w:spacing w:after="0"/>
              <w:rPr>
                <w:sz w:val="20"/>
                <w:szCs w:val="20"/>
                <w:color w:val="auto"/>
              </w:rPr>
            </w:pPr>
            <w:r>
              <w:rPr>
                <w:rFonts w:ascii="Arial" w:cs="Arial" w:eastAsia="Arial" w:hAnsi="Arial"/>
                <w:sz w:val="12"/>
                <w:szCs w:val="12"/>
                <w:b w:val="1"/>
                <w:bCs w:val="1"/>
                <w:color w:val="auto"/>
              </w:rPr>
              <w:t>2020</w:t>
            </w:r>
          </w:p>
        </w:tc>
        <w:tc>
          <w:tcPr>
            <w:tcW w:w="8480" w:type="dxa"/>
            <w:vAlign w:val="bottom"/>
            <w:tcBorders>
              <w:top w:val="single" w:sz="8" w:color="00B2E5"/>
            </w:tcBorders>
            <w:gridSpan w:val="2"/>
          </w:tcPr>
          <w:p>
            <w:pPr>
              <w:ind w:left="80"/>
              <w:spacing w:after="0" w:line="138" w:lineRule="exact"/>
              <w:rPr>
                <w:sz w:val="20"/>
                <w:szCs w:val="20"/>
                <w:color w:val="auto"/>
              </w:rPr>
            </w:pPr>
            <w:r>
              <w:rPr>
                <w:rFonts w:ascii="MS PGothic" w:cs="MS PGothic" w:eastAsia="MS PGothic" w:hAnsi="MS PGothic"/>
                <w:sz w:val="12"/>
                <w:szCs w:val="12"/>
                <w:color w:val="00B2E5"/>
              </w:rPr>
              <w:t>✔</w:t>
            </w:r>
            <w:r>
              <w:rPr>
                <w:rFonts w:ascii="Arial" w:cs="Arial" w:eastAsia="Arial" w:hAnsi="Arial"/>
                <w:sz w:val="12"/>
                <w:szCs w:val="12"/>
                <w:color w:val="auto"/>
              </w:rPr>
              <w:t xml:space="preserve"> The roles of Chairman and Chief Executive Officer were separated in August 2020 upon the appointment of W. Troy Rudd as Chief Executive Officer</w:t>
            </w:r>
          </w:p>
        </w:tc>
        <w:tc>
          <w:tcPr>
            <w:tcW w:w="0" w:type="dxa"/>
            <w:vAlign w:val="bottom"/>
          </w:tcPr>
          <w:p>
            <w:pPr>
              <w:spacing w:after="0"/>
              <w:rPr>
                <w:sz w:val="1"/>
                <w:szCs w:val="1"/>
                <w:color w:val="auto"/>
              </w:rPr>
            </w:pPr>
          </w:p>
        </w:tc>
      </w:tr>
      <w:tr>
        <w:trPr>
          <w:trHeight w:val="151"/>
        </w:trPr>
        <w:tc>
          <w:tcPr>
            <w:tcW w:w="2200" w:type="dxa"/>
            <w:vAlign w:val="bottom"/>
            <w:tcBorders>
              <w:right w:val="single" w:sz="8" w:color="63C1DF"/>
            </w:tcBorders>
          </w:tcPr>
          <w:p>
            <w:pPr>
              <w:ind w:left="220"/>
              <w:spacing w:after="0"/>
              <w:rPr>
                <w:sz w:val="20"/>
                <w:szCs w:val="20"/>
                <w:color w:val="auto"/>
              </w:rPr>
            </w:pPr>
            <w:r>
              <w:rPr>
                <w:rFonts w:ascii="Arial" w:cs="Arial" w:eastAsia="Arial" w:hAnsi="Arial"/>
                <w:sz w:val="12"/>
                <w:szCs w:val="12"/>
                <w:b w:val="1"/>
                <w:bCs w:val="1"/>
                <w:color w:val="auto"/>
              </w:rPr>
              <w:t>Chief Executive Officer Roles</w:t>
            </w:r>
          </w:p>
        </w:tc>
        <w:tc>
          <w:tcPr>
            <w:tcW w:w="620" w:type="dxa"/>
            <w:vAlign w:val="bottom"/>
            <w:tcBorders>
              <w:right w:val="single" w:sz="8" w:color="63C1DF"/>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240" w:type="dxa"/>
            <w:vAlign w:val="bottom"/>
          </w:tcPr>
          <w:p>
            <w:pPr>
              <w:ind w:left="60"/>
              <w:spacing w:after="0"/>
              <w:rPr>
                <w:sz w:val="20"/>
                <w:szCs w:val="20"/>
                <w:color w:val="auto"/>
              </w:rPr>
            </w:pPr>
            <w:r>
              <w:rPr>
                <w:rFonts w:ascii="Arial" w:cs="Arial" w:eastAsia="Arial" w:hAnsi="Arial"/>
                <w:sz w:val="12"/>
                <w:szCs w:val="12"/>
                <w:color w:val="auto"/>
              </w:rPr>
              <w:t>and Douglas W. Stotlar as Chairman of the Board</w:t>
            </w:r>
          </w:p>
        </w:tc>
        <w:tc>
          <w:tcPr>
            <w:tcW w:w="0" w:type="dxa"/>
            <w:vAlign w:val="bottom"/>
          </w:tcPr>
          <w:p>
            <w:pPr>
              <w:spacing w:after="0"/>
              <w:rPr>
                <w:sz w:val="1"/>
                <w:szCs w:val="1"/>
                <w:color w:val="auto"/>
              </w:rPr>
            </w:pPr>
          </w:p>
        </w:tc>
      </w:tr>
      <w:tr>
        <w:trPr>
          <w:trHeight w:val="114"/>
        </w:trPr>
        <w:tc>
          <w:tcPr>
            <w:tcW w:w="2200" w:type="dxa"/>
            <w:vAlign w:val="bottom"/>
            <w:tcBorders>
              <w:top w:val="single" w:sz="8" w:color="00B2E5"/>
              <w:right w:val="single" w:sz="8" w:color="63C1DF"/>
            </w:tcBorders>
          </w:tcPr>
          <w:p>
            <w:pPr>
              <w:spacing w:after="0"/>
              <w:rPr>
                <w:sz w:val="9"/>
                <w:szCs w:val="9"/>
                <w:color w:val="auto"/>
              </w:rPr>
            </w:pPr>
          </w:p>
        </w:tc>
        <w:tc>
          <w:tcPr>
            <w:tcW w:w="620" w:type="dxa"/>
            <w:vAlign w:val="bottom"/>
            <w:tcBorders>
              <w:top w:val="single" w:sz="8" w:color="00B2E5"/>
              <w:right w:val="single" w:sz="8" w:color="63C1DF"/>
            </w:tcBorders>
          </w:tcPr>
          <w:p>
            <w:pPr>
              <w:spacing w:after="0"/>
              <w:rPr>
                <w:sz w:val="9"/>
                <w:szCs w:val="9"/>
                <w:color w:val="auto"/>
              </w:rPr>
            </w:pPr>
          </w:p>
        </w:tc>
        <w:tc>
          <w:tcPr>
            <w:tcW w:w="240" w:type="dxa"/>
            <w:vAlign w:val="bottom"/>
            <w:tcBorders>
              <w:top w:val="single" w:sz="8" w:color="00B2E5"/>
            </w:tcBorders>
          </w:tcPr>
          <w:p>
            <w:pPr>
              <w:ind w:left="80"/>
              <w:spacing w:after="0" w:line="114" w:lineRule="exact"/>
              <w:rPr>
                <w:sz w:val="20"/>
                <w:szCs w:val="20"/>
                <w:color w:val="auto"/>
              </w:rPr>
            </w:pPr>
            <w:r>
              <w:rPr>
                <w:rFonts w:ascii="MS PGothic" w:cs="MS PGothic" w:eastAsia="MS PGothic" w:hAnsi="MS PGothic"/>
                <w:sz w:val="12"/>
                <w:szCs w:val="12"/>
                <w:color w:val="00B2E5"/>
              </w:rPr>
              <w:t>✔</w:t>
            </w:r>
          </w:p>
        </w:tc>
        <w:tc>
          <w:tcPr>
            <w:tcW w:w="8240" w:type="dxa"/>
            <w:vAlign w:val="bottom"/>
            <w:tcBorders>
              <w:top w:val="single" w:sz="8" w:color="00B2E5"/>
            </w:tcBorders>
          </w:tcPr>
          <w:p>
            <w:pPr>
              <w:ind w:left="60"/>
              <w:spacing w:after="0" w:line="114" w:lineRule="exact"/>
              <w:rPr>
                <w:sz w:val="20"/>
                <w:szCs w:val="20"/>
                <w:color w:val="auto"/>
              </w:rPr>
            </w:pPr>
            <w:r>
              <w:rPr>
                <w:rFonts w:ascii="Arial" w:cs="Arial" w:eastAsia="Arial" w:hAnsi="Arial"/>
                <w:sz w:val="12"/>
                <w:szCs w:val="12"/>
                <w:color w:val="auto"/>
              </w:rPr>
              <w:t>The Corporate Governance Guidelines were amended in November 2020 to state that the Board should encompass individuals with diverse</w:t>
            </w:r>
          </w:p>
        </w:tc>
        <w:tc>
          <w:tcPr>
            <w:tcW w:w="0" w:type="dxa"/>
            <w:vAlign w:val="bottom"/>
          </w:tcPr>
          <w:p>
            <w:pPr>
              <w:spacing w:after="0"/>
              <w:rPr>
                <w:sz w:val="1"/>
                <w:szCs w:val="1"/>
                <w:color w:val="auto"/>
              </w:rPr>
            </w:pPr>
          </w:p>
        </w:tc>
      </w:tr>
      <w:tr>
        <w:trPr>
          <w:trHeight w:val="137"/>
        </w:trPr>
        <w:tc>
          <w:tcPr>
            <w:tcW w:w="2200" w:type="dxa"/>
            <w:vAlign w:val="bottom"/>
            <w:tcBorders>
              <w:right w:val="single" w:sz="8" w:color="63C1DF"/>
            </w:tcBorders>
            <w:vMerge w:val="restart"/>
          </w:tcPr>
          <w:p>
            <w:pPr>
              <w:ind w:left="220"/>
              <w:spacing w:after="0"/>
              <w:rPr>
                <w:sz w:val="20"/>
                <w:szCs w:val="20"/>
                <w:color w:val="auto"/>
              </w:rPr>
            </w:pPr>
            <w:r>
              <w:rPr>
                <w:rFonts w:ascii="Arial" w:cs="Arial" w:eastAsia="Arial" w:hAnsi="Arial"/>
                <w:sz w:val="12"/>
                <w:szCs w:val="12"/>
                <w:b w:val="1"/>
                <w:bCs w:val="1"/>
                <w:color w:val="auto"/>
              </w:rPr>
              <w:t>Strengthened Commitment to</w:t>
            </w:r>
          </w:p>
        </w:tc>
        <w:tc>
          <w:tcPr>
            <w:tcW w:w="620" w:type="dxa"/>
            <w:vAlign w:val="bottom"/>
            <w:tcBorders>
              <w:right w:val="single" w:sz="8" w:color="63C1DF"/>
            </w:tcBorders>
          </w:tcPr>
          <w:p>
            <w:pPr>
              <w:spacing w:after="0"/>
              <w:rPr>
                <w:sz w:val="11"/>
                <w:szCs w:val="11"/>
                <w:color w:val="auto"/>
              </w:rPr>
            </w:pPr>
          </w:p>
        </w:tc>
        <w:tc>
          <w:tcPr>
            <w:tcW w:w="240" w:type="dxa"/>
            <w:vAlign w:val="bottom"/>
          </w:tcPr>
          <w:p>
            <w:pPr>
              <w:spacing w:after="0"/>
              <w:rPr>
                <w:sz w:val="11"/>
                <w:szCs w:val="11"/>
                <w:color w:val="auto"/>
              </w:rPr>
            </w:pPr>
          </w:p>
        </w:tc>
        <w:tc>
          <w:tcPr>
            <w:tcW w:w="8240" w:type="dxa"/>
            <w:vAlign w:val="bottom"/>
          </w:tcPr>
          <w:p>
            <w:pPr>
              <w:ind w:left="60"/>
              <w:spacing w:after="0" w:line="137" w:lineRule="exact"/>
              <w:rPr>
                <w:sz w:val="20"/>
                <w:szCs w:val="20"/>
                <w:color w:val="auto"/>
              </w:rPr>
            </w:pPr>
            <w:r>
              <w:rPr>
                <w:rFonts w:ascii="Arial" w:cs="Arial" w:eastAsia="Arial" w:hAnsi="Arial"/>
                <w:sz w:val="12"/>
                <w:szCs w:val="12"/>
                <w:color w:val="auto"/>
              </w:rPr>
              <w:t>backgrounds and perspectives and should include representation of individuals from underrepresented communities, including people of different</w:t>
            </w:r>
          </w:p>
        </w:tc>
        <w:tc>
          <w:tcPr>
            <w:tcW w:w="0" w:type="dxa"/>
            <w:vAlign w:val="bottom"/>
          </w:tcPr>
          <w:p>
            <w:pPr>
              <w:spacing w:after="0"/>
              <w:rPr>
                <w:sz w:val="1"/>
                <w:szCs w:val="1"/>
                <w:color w:val="auto"/>
              </w:rPr>
            </w:pPr>
          </w:p>
        </w:tc>
      </w:tr>
      <w:tr>
        <w:trPr>
          <w:trHeight w:val="135"/>
        </w:trPr>
        <w:tc>
          <w:tcPr>
            <w:tcW w:w="2200" w:type="dxa"/>
            <w:vAlign w:val="bottom"/>
            <w:tcBorders>
              <w:right w:val="single" w:sz="8" w:color="63C1DF"/>
            </w:tcBorders>
            <w:vMerge w:val="continue"/>
          </w:tcPr>
          <w:p>
            <w:pPr>
              <w:spacing w:after="0"/>
              <w:rPr>
                <w:sz w:val="11"/>
                <w:szCs w:val="11"/>
                <w:color w:val="auto"/>
              </w:rPr>
            </w:pPr>
          </w:p>
        </w:tc>
        <w:tc>
          <w:tcPr>
            <w:tcW w:w="620" w:type="dxa"/>
            <w:vAlign w:val="bottom"/>
            <w:tcBorders>
              <w:right w:val="single" w:sz="8" w:color="63C1DF"/>
            </w:tcBorders>
            <w:vMerge w:val="restart"/>
          </w:tcPr>
          <w:p>
            <w:pPr>
              <w:jc w:val="right"/>
              <w:ind w:right="181"/>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1"/>
                <w:szCs w:val="11"/>
                <w:color w:val="auto"/>
              </w:rPr>
            </w:pPr>
          </w:p>
        </w:tc>
        <w:tc>
          <w:tcPr>
            <w:tcW w:w="8240" w:type="dxa"/>
            <w:vAlign w:val="bottom"/>
          </w:tcPr>
          <w:p>
            <w:pPr>
              <w:ind w:left="60"/>
              <w:spacing w:after="0" w:line="135" w:lineRule="exact"/>
              <w:rPr>
                <w:sz w:val="20"/>
                <w:szCs w:val="20"/>
                <w:color w:val="auto"/>
              </w:rPr>
            </w:pPr>
            <w:r>
              <w:rPr>
                <w:rFonts w:ascii="Arial" w:cs="Arial" w:eastAsia="Arial" w:hAnsi="Arial"/>
                <w:sz w:val="12"/>
                <w:szCs w:val="12"/>
                <w:color w:val="auto"/>
              </w:rPr>
              <w:t>genders, experiences, ages, races and ethnic backgrounds.</w:t>
            </w:r>
          </w:p>
        </w:tc>
        <w:tc>
          <w:tcPr>
            <w:tcW w:w="0" w:type="dxa"/>
            <w:vAlign w:val="bottom"/>
          </w:tcPr>
          <w:p>
            <w:pPr>
              <w:spacing w:after="0"/>
              <w:rPr>
                <w:sz w:val="1"/>
                <w:szCs w:val="1"/>
                <w:color w:val="auto"/>
              </w:rPr>
            </w:pPr>
          </w:p>
        </w:tc>
      </w:tr>
      <w:tr>
        <w:trPr>
          <w:trHeight w:val="103"/>
        </w:trPr>
        <w:tc>
          <w:tcPr>
            <w:tcW w:w="2200" w:type="dxa"/>
            <w:vAlign w:val="bottom"/>
            <w:tcBorders>
              <w:right w:val="single" w:sz="8" w:color="63C1DF"/>
            </w:tcBorders>
            <w:vMerge w:val="restart"/>
          </w:tcPr>
          <w:p>
            <w:pPr>
              <w:ind w:left="220"/>
              <w:spacing w:after="0"/>
              <w:rPr>
                <w:sz w:val="20"/>
                <w:szCs w:val="20"/>
                <w:color w:val="auto"/>
              </w:rPr>
            </w:pPr>
            <w:r>
              <w:rPr>
                <w:rFonts w:ascii="Arial" w:cs="Arial" w:eastAsia="Arial" w:hAnsi="Arial"/>
                <w:sz w:val="12"/>
                <w:szCs w:val="12"/>
                <w:b w:val="1"/>
                <w:bCs w:val="1"/>
                <w:color w:val="auto"/>
              </w:rPr>
              <w:t>Board Diversity</w:t>
            </w:r>
          </w:p>
        </w:tc>
        <w:tc>
          <w:tcPr>
            <w:tcW w:w="620" w:type="dxa"/>
            <w:vAlign w:val="bottom"/>
            <w:tcBorders>
              <w:right w:val="single" w:sz="8" w:color="63C1DF"/>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200" w:type="dxa"/>
            <w:vAlign w:val="bottom"/>
            <w:tcBorders>
              <w:right w:val="single" w:sz="8" w:color="63C1DF"/>
            </w:tcBorders>
            <w:vMerge w:val="continue"/>
          </w:tcPr>
          <w:p>
            <w:pPr>
              <w:spacing w:after="0"/>
              <w:rPr>
                <w:sz w:val="5"/>
                <w:szCs w:val="5"/>
                <w:color w:val="auto"/>
              </w:rPr>
            </w:pPr>
          </w:p>
        </w:tc>
        <w:tc>
          <w:tcPr>
            <w:tcW w:w="620" w:type="dxa"/>
            <w:vAlign w:val="bottom"/>
            <w:tcBorders>
              <w:right w:val="single" w:sz="8" w:color="63C1DF"/>
            </w:tcBorders>
          </w:tcPr>
          <w:p>
            <w:pPr>
              <w:spacing w:after="0"/>
              <w:rPr>
                <w:sz w:val="5"/>
                <w:szCs w:val="5"/>
                <w:color w:val="auto"/>
              </w:rPr>
            </w:pPr>
          </w:p>
        </w:tc>
        <w:tc>
          <w:tcPr>
            <w:tcW w:w="8480" w:type="dxa"/>
            <w:vAlign w:val="bottom"/>
            <w:gridSpan w:val="2"/>
            <w:vMerge w:val="restart"/>
          </w:tcPr>
          <w:p>
            <w:pPr>
              <w:ind w:left="80"/>
              <w:spacing w:after="0" w:line="138" w:lineRule="exact"/>
              <w:rPr>
                <w:sz w:val="20"/>
                <w:szCs w:val="20"/>
                <w:color w:val="auto"/>
              </w:rPr>
            </w:pPr>
            <w:r>
              <w:rPr>
                <w:rFonts w:ascii="MS PGothic" w:cs="MS PGothic" w:eastAsia="MS PGothic" w:hAnsi="MS PGothic"/>
                <w:sz w:val="12"/>
                <w:szCs w:val="12"/>
                <w:color w:val="00B2E5"/>
              </w:rPr>
              <w:t>✔</w:t>
            </w:r>
            <w:r>
              <w:rPr>
                <w:rFonts w:ascii="Arial" w:cs="Arial" w:eastAsia="Arial" w:hAnsi="Arial"/>
                <w:sz w:val="12"/>
                <w:szCs w:val="12"/>
                <w:color w:val="auto"/>
              </w:rPr>
              <w:t xml:space="preserve"> Five out of the 11 nominees for election as directors at the 2021 Annual Meeting are diverse, consisting of four women, including one African American</w:t>
            </w:r>
          </w:p>
        </w:tc>
        <w:tc>
          <w:tcPr>
            <w:tcW w:w="0" w:type="dxa"/>
            <w:vAlign w:val="bottom"/>
          </w:tcPr>
          <w:p>
            <w:pPr>
              <w:spacing w:after="0"/>
              <w:rPr>
                <w:sz w:val="1"/>
                <w:szCs w:val="1"/>
                <w:color w:val="auto"/>
              </w:rPr>
            </w:pPr>
          </w:p>
        </w:tc>
      </w:tr>
      <w:tr>
        <w:trPr>
          <w:trHeight w:val="117"/>
        </w:trPr>
        <w:tc>
          <w:tcPr>
            <w:tcW w:w="2200" w:type="dxa"/>
            <w:vAlign w:val="bottom"/>
            <w:tcBorders>
              <w:right w:val="single" w:sz="8" w:color="63C1DF"/>
            </w:tcBorders>
          </w:tcPr>
          <w:p>
            <w:pPr>
              <w:spacing w:after="0"/>
              <w:rPr>
                <w:sz w:val="10"/>
                <w:szCs w:val="10"/>
                <w:color w:val="auto"/>
              </w:rPr>
            </w:pPr>
          </w:p>
        </w:tc>
        <w:tc>
          <w:tcPr>
            <w:tcW w:w="620" w:type="dxa"/>
            <w:vAlign w:val="bottom"/>
            <w:tcBorders>
              <w:right w:val="single" w:sz="8" w:color="63C1DF"/>
            </w:tcBorders>
          </w:tcPr>
          <w:p>
            <w:pPr>
              <w:spacing w:after="0"/>
              <w:rPr>
                <w:sz w:val="10"/>
                <w:szCs w:val="10"/>
                <w:color w:val="auto"/>
              </w:rPr>
            </w:pPr>
          </w:p>
        </w:tc>
        <w:tc>
          <w:tcPr>
            <w:tcW w:w="8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0" w:type="dxa"/>
            <w:vAlign w:val="bottom"/>
            <w:tcBorders>
              <w:bottom w:val="single" w:sz="8" w:color="00B2E5"/>
              <w:right w:val="single" w:sz="8" w:color="63C1DF"/>
            </w:tcBorders>
          </w:tcPr>
          <w:p>
            <w:pPr>
              <w:spacing w:after="0"/>
              <w:rPr>
                <w:sz w:val="12"/>
                <w:szCs w:val="12"/>
                <w:color w:val="auto"/>
              </w:rPr>
            </w:pPr>
          </w:p>
        </w:tc>
        <w:tc>
          <w:tcPr>
            <w:tcW w:w="620" w:type="dxa"/>
            <w:vAlign w:val="bottom"/>
            <w:tcBorders>
              <w:bottom w:val="single" w:sz="8" w:color="00B2E5"/>
              <w:right w:val="single" w:sz="8" w:color="63C1DF"/>
            </w:tcBorders>
          </w:tcPr>
          <w:p>
            <w:pPr>
              <w:spacing w:after="0"/>
              <w:rPr>
                <w:sz w:val="12"/>
                <w:szCs w:val="12"/>
                <w:color w:val="auto"/>
              </w:rPr>
            </w:pPr>
          </w:p>
        </w:tc>
        <w:tc>
          <w:tcPr>
            <w:tcW w:w="240" w:type="dxa"/>
            <w:vAlign w:val="bottom"/>
            <w:tcBorders>
              <w:bottom w:val="single" w:sz="8" w:color="00B2E5"/>
            </w:tcBorders>
          </w:tcPr>
          <w:p>
            <w:pPr>
              <w:spacing w:after="0"/>
              <w:rPr>
                <w:sz w:val="12"/>
                <w:szCs w:val="12"/>
                <w:color w:val="auto"/>
              </w:rPr>
            </w:pPr>
          </w:p>
        </w:tc>
        <w:tc>
          <w:tcPr>
            <w:tcW w:w="8240" w:type="dxa"/>
            <w:vAlign w:val="bottom"/>
            <w:tcBorders>
              <w:bottom w:val="single" w:sz="8" w:color="00B2E5"/>
            </w:tcBorders>
          </w:tcPr>
          <w:p>
            <w:pPr>
              <w:ind w:left="60"/>
              <w:spacing w:after="0"/>
              <w:rPr>
                <w:sz w:val="20"/>
                <w:szCs w:val="20"/>
                <w:color w:val="auto"/>
              </w:rPr>
            </w:pPr>
            <w:r>
              <w:rPr>
                <w:rFonts w:ascii="Arial" w:cs="Arial" w:eastAsia="Arial" w:hAnsi="Arial"/>
                <w:sz w:val="12"/>
                <w:szCs w:val="12"/>
                <w:color w:val="auto"/>
              </w:rPr>
              <w:t>woman, and one director who self-identifies as LGBTQ+.</w:t>
            </w:r>
          </w:p>
        </w:tc>
        <w:tc>
          <w:tcPr>
            <w:tcW w:w="0" w:type="dxa"/>
            <w:vAlign w:val="bottom"/>
          </w:tcPr>
          <w:p>
            <w:pPr>
              <w:spacing w:after="0"/>
              <w:rPr>
                <w:sz w:val="1"/>
                <w:szCs w:val="1"/>
                <w:color w:val="auto"/>
              </w:rPr>
            </w:pPr>
          </w:p>
        </w:tc>
      </w:tr>
      <w:tr>
        <w:trPr>
          <w:trHeight w:val="114"/>
        </w:trPr>
        <w:tc>
          <w:tcPr>
            <w:tcW w:w="2200" w:type="dxa"/>
            <w:vAlign w:val="bottom"/>
            <w:tcBorders>
              <w:right w:val="single" w:sz="8" w:color="63C1DF"/>
            </w:tcBorders>
            <w:vMerge w:val="restart"/>
          </w:tcPr>
          <w:p>
            <w:pPr>
              <w:ind w:left="220"/>
              <w:spacing w:after="0"/>
              <w:rPr>
                <w:sz w:val="20"/>
                <w:szCs w:val="20"/>
                <w:color w:val="auto"/>
              </w:rPr>
            </w:pPr>
            <w:r>
              <w:rPr>
                <w:rFonts w:ascii="Arial" w:cs="Arial" w:eastAsia="Arial" w:hAnsi="Arial"/>
                <w:sz w:val="12"/>
                <w:szCs w:val="12"/>
                <w:b w:val="1"/>
                <w:bCs w:val="1"/>
                <w:color w:val="auto"/>
              </w:rPr>
              <w:t>Strengthened Commitment to</w:t>
            </w:r>
          </w:p>
        </w:tc>
        <w:tc>
          <w:tcPr>
            <w:tcW w:w="620" w:type="dxa"/>
            <w:vAlign w:val="bottom"/>
            <w:tcBorders>
              <w:right w:val="single" w:sz="8" w:color="63C1DF"/>
            </w:tcBorders>
          </w:tcPr>
          <w:p>
            <w:pPr>
              <w:spacing w:after="0"/>
              <w:rPr>
                <w:sz w:val="9"/>
                <w:szCs w:val="9"/>
                <w:color w:val="auto"/>
              </w:rPr>
            </w:pPr>
          </w:p>
        </w:tc>
        <w:tc>
          <w:tcPr>
            <w:tcW w:w="8480" w:type="dxa"/>
            <w:vAlign w:val="bottom"/>
            <w:gridSpan w:val="2"/>
          </w:tcPr>
          <w:p>
            <w:pPr>
              <w:ind w:left="80"/>
              <w:spacing w:after="0" w:line="114" w:lineRule="exact"/>
              <w:rPr>
                <w:sz w:val="20"/>
                <w:szCs w:val="20"/>
                <w:color w:val="auto"/>
              </w:rPr>
            </w:pPr>
            <w:r>
              <w:rPr>
                <w:rFonts w:ascii="MS PGothic" w:cs="MS PGothic" w:eastAsia="MS PGothic" w:hAnsi="MS PGothic"/>
                <w:sz w:val="12"/>
                <w:szCs w:val="12"/>
                <w:color w:val="00B2E5"/>
              </w:rPr>
              <w:t>✔</w:t>
            </w:r>
            <w:r>
              <w:rPr>
                <w:rFonts w:ascii="Arial" w:cs="Arial" w:eastAsia="Arial" w:hAnsi="Arial"/>
                <w:sz w:val="12"/>
                <w:szCs w:val="12"/>
                <w:color w:val="auto"/>
              </w:rPr>
              <w:t xml:space="preserve"> Refocused the scope of responsibility of the Board's Strategy, Risk and Safety Committee in November 2020 to include oversight of sustainability</w:t>
            </w:r>
          </w:p>
        </w:tc>
        <w:tc>
          <w:tcPr>
            <w:tcW w:w="0" w:type="dxa"/>
            <w:vAlign w:val="bottom"/>
          </w:tcPr>
          <w:p>
            <w:pPr>
              <w:spacing w:after="0"/>
              <w:rPr>
                <w:sz w:val="1"/>
                <w:szCs w:val="1"/>
                <w:color w:val="auto"/>
              </w:rPr>
            </w:pPr>
          </w:p>
        </w:tc>
      </w:tr>
      <w:tr>
        <w:trPr>
          <w:trHeight w:val="135"/>
        </w:trPr>
        <w:tc>
          <w:tcPr>
            <w:tcW w:w="2200" w:type="dxa"/>
            <w:vAlign w:val="bottom"/>
            <w:tcBorders>
              <w:right w:val="single" w:sz="8" w:color="63C1DF"/>
            </w:tcBorders>
            <w:vMerge w:val="continue"/>
          </w:tcPr>
          <w:p>
            <w:pPr>
              <w:spacing w:after="0"/>
              <w:rPr>
                <w:sz w:val="11"/>
                <w:szCs w:val="11"/>
                <w:color w:val="auto"/>
              </w:rPr>
            </w:pPr>
          </w:p>
        </w:tc>
        <w:tc>
          <w:tcPr>
            <w:tcW w:w="620" w:type="dxa"/>
            <w:vAlign w:val="bottom"/>
            <w:tcBorders>
              <w:right w:val="single" w:sz="8" w:color="63C1DF"/>
            </w:tcBorders>
            <w:vMerge w:val="restart"/>
          </w:tcPr>
          <w:p>
            <w:pPr>
              <w:jc w:val="right"/>
              <w:ind w:right="181"/>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1"/>
                <w:szCs w:val="11"/>
                <w:color w:val="auto"/>
              </w:rPr>
            </w:pPr>
          </w:p>
        </w:tc>
        <w:tc>
          <w:tcPr>
            <w:tcW w:w="8240" w:type="dxa"/>
            <w:vAlign w:val="bottom"/>
          </w:tcPr>
          <w:p>
            <w:pPr>
              <w:ind w:left="60"/>
              <w:spacing w:after="0" w:line="135" w:lineRule="exact"/>
              <w:rPr>
                <w:sz w:val="20"/>
                <w:szCs w:val="20"/>
                <w:color w:val="auto"/>
              </w:rPr>
            </w:pPr>
            <w:r>
              <w:rPr>
                <w:rFonts w:ascii="Arial" w:cs="Arial" w:eastAsia="Arial" w:hAnsi="Arial"/>
                <w:sz w:val="12"/>
                <w:szCs w:val="12"/>
                <w:color w:val="auto"/>
              </w:rPr>
              <w:t>matters and renamed it the Safety, Risk and Sustainability Committee</w:t>
            </w:r>
          </w:p>
        </w:tc>
        <w:tc>
          <w:tcPr>
            <w:tcW w:w="0" w:type="dxa"/>
            <w:vAlign w:val="bottom"/>
          </w:tcPr>
          <w:p>
            <w:pPr>
              <w:spacing w:after="0"/>
              <w:rPr>
                <w:sz w:val="1"/>
                <w:szCs w:val="1"/>
                <w:color w:val="auto"/>
              </w:rPr>
            </w:pPr>
          </w:p>
        </w:tc>
      </w:tr>
      <w:tr>
        <w:trPr>
          <w:trHeight w:val="103"/>
        </w:trPr>
        <w:tc>
          <w:tcPr>
            <w:tcW w:w="2200" w:type="dxa"/>
            <w:vAlign w:val="bottom"/>
            <w:tcBorders>
              <w:right w:val="single" w:sz="8" w:color="63C1DF"/>
            </w:tcBorders>
            <w:vMerge w:val="restart"/>
          </w:tcPr>
          <w:p>
            <w:pPr>
              <w:ind w:left="220"/>
              <w:spacing w:after="0"/>
              <w:rPr>
                <w:sz w:val="20"/>
                <w:szCs w:val="20"/>
                <w:color w:val="auto"/>
              </w:rPr>
            </w:pPr>
            <w:r>
              <w:rPr>
                <w:rFonts w:ascii="Arial" w:cs="Arial" w:eastAsia="Arial" w:hAnsi="Arial"/>
                <w:sz w:val="12"/>
                <w:szCs w:val="12"/>
                <w:b w:val="1"/>
                <w:bCs w:val="1"/>
                <w:color w:val="auto"/>
              </w:rPr>
              <w:t>ESG</w:t>
            </w:r>
          </w:p>
        </w:tc>
        <w:tc>
          <w:tcPr>
            <w:tcW w:w="620" w:type="dxa"/>
            <w:vAlign w:val="bottom"/>
            <w:tcBorders>
              <w:right w:val="single" w:sz="8" w:color="63C1DF"/>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200" w:type="dxa"/>
            <w:vAlign w:val="bottom"/>
            <w:tcBorders>
              <w:right w:val="single" w:sz="8" w:color="63C1DF"/>
            </w:tcBorders>
            <w:vMerge w:val="continue"/>
          </w:tcPr>
          <w:p>
            <w:pPr>
              <w:spacing w:after="0"/>
              <w:rPr>
                <w:sz w:val="5"/>
                <w:szCs w:val="5"/>
                <w:color w:val="auto"/>
              </w:rPr>
            </w:pPr>
          </w:p>
        </w:tc>
        <w:tc>
          <w:tcPr>
            <w:tcW w:w="620" w:type="dxa"/>
            <w:vAlign w:val="bottom"/>
            <w:tcBorders>
              <w:right w:val="single" w:sz="8" w:color="63C1DF"/>
            </w:tcBorders>
          </w:tcPr>
          <w:p>
            <w:pPr>
              <w:spacing w:after="0"/>
              <w:rPr>
                <w:sz w:val="5"/>
                <w:szCs w:val="5"/>
                <w:color w:val="auto"/>
              </w:rPr>
            </w:pPr>
          </w:p>
        </w:tc>
        <w:tc>
          <w:tcPr>
            <w:tcW w:w="8480" w:type="dxa"/>
            <w:vAlign w:val="bottom"/>
            <w:gridSpan w:val="2"/>
            <w:vMerge w:val="restart"/>
          </w:tcPr>
          <w:p>
            <w:pPr>
              <w:ind w:left="80"/>
              <w:spacing w:after="0" w:line="138" w:lineRule="exact"/>
              <w:rPr>
                <w:sz w:val="20"/>
                <w:szCs w:val="20"/>
                <w:color w:val="auto"/>
              </w:rPr>
            </w:pPr>
            <w:r>
              <w:rPr>
                <w:rFonts w:ascii="MS PGothic" w:cs="MS PGothic" w:eastAsia="MS PGothic" w:hAnsi="MS PGothic"/>
                <w:sz w:val="12"/>
                <w:szCs w:val="12"/>
                <w:color w:val="00B2E5"/>
              </w:rPr>
              <w:t>✔</w:t>
            </w:r>
            <w:r>
              <w:rPr>
                <w:rFonts w:ascii="Arial" w:cs="Arial" w:eastAsia="Arial" w:hAnsi="Arial"/>
                <w:sz w:val="12"/>
                <w:szCs w:val="12"/>
                <w:color w:val="auto"/>
              </w:rPr>
              <w:t xml:space="preserve"> Formed an internal Global ESG Council led by Company President Lara Poloni to elevate commitment to ESG throughout the Company</w:t>
            </w:r>
          </w:p>
        </w:tc>
        <w:tc>
          <w:tcPr>
            <w:tcW w:w="0" w:type="dxa"/>
            <w:vAlign w:val="bottom"/>
          </w:tcPr>
          <w:p>
            <w:pPr>
              <w:spacing w:after="0"/>
              <w:rPr>
                <w:sz w:val="1"/>
                <w:szCs w:val="1"/>
                <w:color w:val="auto"/>
              </w:rPr>
            </w:pPr>
          </w:p>
        </w:tc>
      </w:tr>
      <w:tr>
        <w:trPr>
          <w:trHeight w:val="129"/>
        </w:trPr>
        <w:tc>
          <w:tcPr>
            <w:tcW w:w="2200" w:type="dxa"/>
            <w:vAlign w:val="bottom"/>
            <w:tcBorders>
              <w:bottom w:val="single" w:sz="8" w:color="00B2E5"/>
              <w:right w:val="single" w:sz="8" w:color="63C1DF"/>
            </w:tcBorders>
          </w:tcPr>
          <w:p>
            <w:pPr>
              <w:spacing w:after="0"/>
              <w:rPr>
                <w:sz w:val="11"/>
                <w:szCs w:val="11"/>
                <w:color w:val="auto"/>
              </w:rPr>
            </w:pPr>
          </w:p>
        </w:tc>
        <w:tc>
          <w:tcPr>
            <w:tcW w:w="620" w:type="dxa"/>
            <w:vAlign w:val="bottom"/>
            <w:tcBorders>
              <w:bottom w:val="single" w:sz="8" w:color="00B2E5"/>
              <w:right w:val="single" w:sz="8" w:color="63C1DF"/>
            </w:tcBorders>
          </w:tcPr>
          <w:p>
            <w:pPr>
              <w:spacing w:after="0"/>
              <w:rPr>
                <w:sz w:val="11"/>
                <w:szCs w:val="11"/>
                <w:color w:val="auto"/>
              </w:rPr>
            </w:pPr>
          </w:p>
        </w:tc>
        <w:tc>
          <w:tcPr>
            <w:tcW w:w="8480" w:type="dxa"/>
            <w:vAlign w:val="bottom"/>
            <w:tcBorders>
              <w:bottom w:val="single" w:sz="8" w:color="00B2E5"/>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00" w:type="dxa"/>
            <w:vAlign w:val="bottom"/>
            <w:tcBorders>
              <w:bottom w:val="single" w:sz="8" w:color="00B2E5"/>
              <w:right w:val="single" w:sz="8" w:color="63C1DF"/>
            </w:tcBorders>
          </w:tcPr>
          <w:p>
            <w:pPr>
              <w:ind w:left="220"/>
              <w:spacing w:after="0" w:line="126" w:lineRule="exact"/>
              <w:rPr>
                <w:sz w:val="20"/>
                <w:szCs w:val="20"/>
                <w:color w:val="auto"/>
              </w:rPr>
            </w:pPr>
            <w:r>
              <w:rPr>
                <w:rFonts w:ascii="Arial" w:cs="Arial" w:eastAsia="Arial" w:hAnsi="Arial"/>
                <w:sz w:val="12"/>
                <w:szCs w:val="12"/>
                <w:b w:val="1"/>
                <w:bCs w:val="1"/>
                <w:color w:val="auto"/>
              </w:rPr>
              <w:t>Adopted Majority Voting</w:t>
            </w:r>
          </w:p>
        </w:tc>
        <w:tc>
          <w:tcPr>
            <w:tcW w:w="620" w:type="dxa"/>
            <w:vAlign w:val="bottom"/>
            <w:tcBorders>
              <w:bottom w:val="single" w:sz="8" w:color="00B2E5"/>
              <w:right w:val="single" w:sz="8" w:color="63C1DF"/>
            </w:tcBorders>
          </w:tcPr>
          <w:p>
            <w:pPr>
              <w:jc w:val="right"/>
              <w:ind w:right="181"/>
              <w:spacing w:after="0" w:line="126" w:lineRule="exact"/>
              <w:rPr>
                <w:sz w:val="20"/>
                <w:szCs w:val="20"/>
                <w:color w:val="auto"/>
              </w:rPr>
            </w:pPr>
            <w:r>
              <w:rPr>
                <w:rFonts w:ascii="Arial" w:cs="Arial" w:eastAsia="Arial" w:hAnsi="Arial"/>
                <w:sz w:val="12"/>
                <w:szCs w:val="12"/>
                <w:b w:val="1"/>
                <w:bCs w:val="1"/>
                <w:color w:val="auto"/>
              </w:rPr>
              <w:t>2018</w:t>
            </w:r>
          </w:p>
        </w:tc>
        <w:tc>
          <w:tcPr>
            <w:tcW w:w="240" w:type="dxa"/>
            <w:vAlign w:val="bottom"/>
            <w:tcBorders>
              <w:bottom w:val="single" w:sz="8" w:color="00B2E5"/>
            </w:tcBorders>
          </w:tcPr>
          <w:p>
            <w:pPr>
              <w:ind w:left="80"/>
              <w:spacing w:after="0" w:line="121" w:lineRule="exact"/>
              <w:rPr>
                <w:sz w:val="20"/>
                <w:szCs w:val="20"/>
                <w:color w:val="auto"/>
              </w:rPr>
            </w:pPr>
            <w:r>
              <w:rPr>
                <w:rFonts w:ascii="MS PGothic" w:cs="MS PGothic" w:eastAsia="MS PGothic" w:hAnsi="MS PGothic"/>
                <w:sz w:val="12"/>
                <w:szCs w:val="12"/>
                <w:color w:val="00B2E5"/>
              </w:rPr>
              <w:t>✔</w:t>
            </w:r>
          </w:p>
        </w:tc>
        <w:tc>
          <w:tcPr>
            <w:tcW w:w="8240" w:type="dxa"/>
            <w:vAlign w:val="bottom"/>
            <w:tcBorders>
              <w:bottom w:val="single" w:sz="8" w:color="00B2E5"/>
            </w:tcBorders>
          </w:tcPr>
          <w:p>
            <w:pPr>
              <w:ind w:left="60"/>
              <w:spacing w:after="0" w:line="126" w:lineRule="exact"/>
              <w:rPr>
                <w:sz w:val="20"/>
                <w:szCs w:val="20"/>
                <w:color w:val="auto"/>
              </w:rPr>
            </w:pPr>
            <w:r>
              <w:rPr>
                <w:rFonts w:ascii="Arial" w:cs="Arial" w:eastAsia="Arial" w:hAnsi="Arial"/>
                <w:sz w:val="12"/>
                <w:szCs w:val="12"/>
                <w:color w:val="auto"/>
              </w:rPr>
              <w:t>Adopted majority voting in uncontested elections of directors</w:t>
            </w:r>
          </w:p>
        </w:tc>
        <w:tc>
          <w:tcPr>
            <w:tcW w:w="0" w:type="dxa"/>
            <w:vAlign w:val="bottom"/>
          </w:tcPr>
          <w:p>
            <w:pPr>
              <w:spacing w:after="0"/>
              <w:rPr>
                <w:sz w:val="1"/>
                <w:szCs w:val="1"/>
                <w:color w:val="auto"/>
              </w:rPr>
            </w:pPr>
          </w:p>
        </w:tc>
      </w:tr>
      <w:tr>
        <w:trPr>
          <w:trHeight w:val="175"/>
        </w:trPr>
        <w:tc>
          <w:tcPr>
            <w:tcW w:w="2200" w:type="dxa"/>
            <w:vAlign w:val="bottom"/>
            <w:tcBorders>
              <w:right w:val="single" w:sz="8" w:color="63C1DF"/>
            </w:tcBorders>
          </w:tcPr>
          <w:p>
            <w:pPr>
              <w:spacing w:after="0"/>
              <w:rPr>
                <w:sz w:val="15"/>
                <w:szCs w:val="15"/>
                <w:color w:val="auto"/>
              </w:rPr>
            </w:pPr>
          </w:p>
        </w:tc>
        <w:tc>
          <w:tcPr>
            <w:tcW w:w="620" w:type="dxa"/>
            <w:vAlign w:val="bottom"/>
            <w:tcBorders>
              <w:right w:val="single" w:sz="8" w:color="63C1DF"/>
            </w:tcBorders>
          </w:tcPr>
          <w:p>
            <w:pPr>
              <w:spacing w:after="0"/>
              <w:rPr>
                <w:sz w:val="15"/>
                <w:szCs w:val="15"/>
                <w:color w:val="auto"/>
              </w:rPr>
            </w:pPr>
          </w:p>
        </w:tc>
        <w:tc>
          <w:tcPr>
            <w:tcW w:w="8480" w:type="dxa"/>
            <w:vAlign w:val="bottom"/>
            <w:gridSpan w:val="2"/>
          </w:tcPr>
          <w:p>
            <w:pPr>
              <w:ind w:left="80"/>
              <w:spacing w:after="0" w:line="138" w:lineRule="exact"/>
              <w:rPr>
                <w:sz w:val="20"/>
                <w:szCs w:val="20"/>
                <w:color w:val="auto"/>
              </w:rPr>
            </w:pPr>
            <w:r>
              <w:rPr>
                <w:rFonts w:ascii="MS PGothic" w:cs="MS PGothic" w:eastAsia="MS PGothic" w:hAnsi="MS PGothic"/>
                <w:sz w:val="12"/>
                <w:szCs w:val="12"/>
                <w:color w:val="00B2E5"/>
              </w:rPr>
              <w:t>✔</w:t>
            </w:r>
            <w:r>
              <w:rPr>
                <w:rFonts w:ascii="Arial" w:cs="Arial" w:eastAsia="Arial" w:hAnsi="Arial"/>
                <w:sz w:val="12"/>
                <w:szCs w:val="12"/>
                <w:color w:val="auto"/>
              </w:rPr>
              <w:t xml:space="preserve"> Stock ownership threshold of 3%</w:t>
            </w:r>
          </w:p>
        </w:tc>
        <w:tc>
          <w:tcPr>
            <w:tcW w:w="0" w:type="dxa"/>
            <w:vAlign w:val="bottom"/>
          </w:tcPr>
          <w:p>
            <w:pPr>
              <w:spacing w:after="0"/>
              <w:rPr>
                <w:sz w:val="1"/>
                <w:szCs w:val="1"/>
                <w:color w:val="auto"/>
              </w:rPr>
            </w:pPr>
          </w:p>
        </w:tc>
      </w:tr>
      <w:tr>
        <w:trPr>
          <w:trHeight w:val="254"/>
        </w:trPr>
        <w:tc>
          <w:tcPr>
            <w:tcW w:w="2200" w:type="dxa"/>
            <w:vAlign w:val="bottom"/>
            <w:tcBorders>
              <w:right w:val="single" w:sz="8" w:color="63C1DF"/>
            </w:tcBorders>
            <w:vMerge w:val="restart"/>
          </w:tcPr>
          <w:p>
            <w:pPr>
              <w:ind w:left="220"/>
              <w:spacing w:after="0"/>
              <w:rPr>
                <w:sz w:val="20"/>
                <w:szCs w:val="20"/>
                <w:color w:val="auto"/>
              </w:rPr>
            </w:pPr>
            <w:r>
              <w:rPr>
                <w:rFonts w:ascii="Arial" w:cs="Arial" w:eastAsia="Arial" w:hAnsi="Arial"/>
                <w:sz w:val="12"/>
                <w:szCs w:val="12"/>
                <w:b w:val="1"/>
                <w:bCs w:val="1"/>
                <w:color w:val="auto"/>
              </w:rPr>
              <w:t>Adopted Proxy Access for</w:t>
            </w:r>
          </w:p>
        </w:tc>
        <w:tc>
          <w:tcPr>
            <w:tcW w:w="620" w:type="dxa"/>
            <w:vAlign w:val="bottom"/>
            <w:tcBorders>
              <w:right w:val="single" w:sz="8" w:color="63C1DF"/>
            </w:tcBorders>
            <w:vMerge w:val="restart"/>
          </w:tcPr>
          <w:p>
            <w:pPr>
              <w:jc w:val="right"/>
              <w:ind w:right="181"/>
              <w:spacing w:after="0"/>
              <w:rPr>
                <w:sz w:val="20"/>
                <w:szCs w:val="20"/>
                <w:color w:val="auto"/>
              </w:rPr>
            </w:pPr>
            <w:r>
              <w:rPr>
                <w:rFonts w:ascii="Arial" w:cs="Arial" w:eastAsia="Arial" w:hAnsi="Arial"/>
                <w:sz w:val="12"/>
                <w:szCs w:val="12"/>
                <w:b w:val="1"/>
                <w:bCs w:val="1"/>
                <w:color w:val="auto"/>
              </w:rPr>
              <w:t>2017</w:t>
            </w:r>
          </w:p>
        </w:tc>
        <w:tc>
          <w:tcPr>
            <w:tcW w:w="8480" w:type="dxa"/>
            <w:vAlign w:val="bottom"/>
            <w:gridSpan w:val="2"/>
          </w:tcPr>
          <w:p>
            <w:pPr>
              <w:ind w:left="80"/>
              <w:spacing w:after="0" w:line="138" w:lineRule="exact"/>
              <w:rPr>
                <w:sz w:val="20"/>
                <w:szCs w:val="20"/>
                <w:color w:val="auto"/>
              </w:rPr>
            </w:pPr>
            <w:r>
              <w:rPr>
                <w:rFonts w:ascii="MS PGothic" w:cs="MS PGothic" w:eastAsia="MS PGothic" w:hAnsi="MS PGothic"/>
                <w:sz w:val="12"/>
                <w:szCs w:val="12"/>
                <w:color w:val="00B2E5"/>
              </w:rPr>
              <w:t>✔</w:t>
            </w:r>
            <w:r>
              <w:rPr>
                <w:rFonts w:ascii="Arial" w:cs="Arial" w:eastAsia="Arial" w:hAnsi="Arial"/>
                <w:sz w:val="12"/>
                <w:szCs w:val="12"/>
                <w:color w:val="auto"/>
              </w:rPr>
              <w:t xml:space="preserve"> Holding period of 3 years</w:t>
            </w:r>
          </w:p>
        </w:tc>
        <w:tc>
          <w:tcPr>
            <w:tcW w:w="0" w:type="dxa"/>
            <w:vAlign w:val="bottom"/>
          </w:tcPr>
          <w:p>
            <w:pPr>
              <w:spacing w:after="0"/>
              <w:rPr>
                <w:sz w:val="1"/>
                <w:szCs w:val="1"/>
                <w:color w:val="auto"/>
              </w:rPr>
            </w:pPr>
          </w:p>
        </w:tc>
      </w:tr>
      <w:tr>
        <w:trPr>
          <w:trHeight w:val="38"/>
        </w:trPr>
        <w:tc>
          <w:tcPr>
            <w:tcW w:w="2200" w:type="dxa"/>
            <w:vAlign w:val="bottom"/>
            <w:tcBorders>
              <w:right w:val="single" w:sz="8" w:color="63C1DF"/>
            </w:tcBorders>
            <w:vMerge w:val="continue"/>
          </w:tcPr>
          <w:p>
            <w:pPr>
              <w:spacing w:after="0"/>
              <w:rPr>
                <w:sz w:val="3"/>
                <w:szCs w:val="3"/>
                <w:color w:val="auto"/>
              </w:rPr>
            </w:pPr>
          </w:p>
        </w:tc>
        <w:tc>
          <w:tcPr>
            <w:tcW w:w="620" w:type="dxa"/>
            <w:vAlign w:val="bottom"/>
            <w:tcBorders>
              <w:right w:val="single" w:sz="8" w:color="63C1DF"/>
            </w:tcBorders>
            <w:vMerge w:val="continue"/>
          </w:tcPr>
          <w:p>
            <w:pPr>
              <w:spacing w:after="0"/>
              <w:rPr>
                <w:sz w:val="3"/>
                <w:szCs w:val="3"/>
                <w:color w:val="auto"/>
              </w:rPr>
            </w:pPr>
          </w:p>
        </w:tc>
        <w:tc>
          <w:tcPr>
            <w:tcW w:w="240" w:type="dxa"/>
            <w:vAlign w:val="bottom"/>
          </w:tcPr>
          <w:p>
            <w:pPr>
              <w:spacing w:after="0"/>
              <w:rPr>
                <w:sz w:val="3"/>
                <w:szCs w:val="3"/>
                <w:color w:val="auto"/>
              </w:rPr>
            </w:pPr>
          </w:p>
        </w:tc>
        <w:tc>
          <w:tcPr>
            <w:tcW w:w="8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4"/>
        </w:trPr>
        <w:tc>
          <w:tcPr>
            <w:tcW w:w="2200" w:type="dxa"/>
            <w:vAlign w:val="bottom"/>
            <w:tcBorders>
              <w:right w:val="single" w:sz="8" w:color="63C1DF"/>
            </w:tcBorders>
            <w:vMerge w:val="restart"/>
          </w:tcPr>
          <w:p>
            <w:pPr>
              <w:ind w:left="220"/>
              <w:spacing w:after="0"/>
              <w:rPr>
                <w:sz w:val="20"/>
                <w:szCs w:val="20"/>
                <w:color w:val="auto"/>
              </w:rPr>
            </w:pPr>
            <w:r>
              <w:rPr>
                <w:rFonts w:ascii="Arial" w:cs="Arial" w:eastAsia="Arial" w:hAnsi="Arial"/>
                <w:sz w:val="12"/>
                <w:szCs w:val="12"/>
                <w:b w:val="1"/>
                <w:bCs w:val="1"/>
                <w:color w:val="auto"/>
              </w:rPr>
              <w:t>Director Nominations</w:t>
            </w:r>
          </w:p>
        </w:tc>
        <w:tc>
          <w:tcPr>
            <w:tcW w:w="620" w:type="dxa"/>
            <w:vAlign w:val="bottom"/>
            <w:tcBorders>
              <w:right w:val="single" w:sz="8" w:color="63C1DF"/>
            </w:tcBorders>
            <w:vMerge w:val="continue"/>
          </w:tcPr>
          <w:p>
            <w:pPr>
              <w:spacing w:after="0"/>
              <w:rPr>
                <w:sz w:val="8"/>
                <w:szCs w:val="8"/>
                <w:color w:val="auto"/>
              </w:rPr>
            </w:pPr>
          </w:p>
        </w:tc>
        <w:tc>
          <w:tcPr>
            <w:tcW w:w="8480" w:type="dxa"/>
            <w:vAlign w:val="bottom"/>
            <w:gridSpan w:val="2"/>
            <w:vMerge w:val="restart"/>
          </w:tcPr>
          <w:p>
            <w:pPr>
              <w:ind w:left="80"/>
              <w:spacing w:after="0" w:line="138" w:lineRule="exact"/>
              <w:rPr>
                <w:sz w:val="20"/>
                <w:szCs w:val="20"/>
                <w:color w:val="auto"/>
              </w:rPr>
            </w:pPr>
            <w:r>
              <w:rPr>
                <w:rFonts w:ascii="MS PGothic" w:cs="MS PGothic" w:eastAsia="MS PGothic" w:hAnsi="MS PGothic"/>
                <w:sz w:val="12"/>
                <w:szCs w:val="12"/>
                <w:color w:val="00B2E5"/>
              </w:rPr>
              <w:t>✔</w:t>
            </w:r>
            <w:r>
              <w:rPr>
                <w:rFonts w:ascii="Arial" w:cs="Arial" w:eastAsia="Arial" w:hAnsi="Arial"/>
                <w:sz w:val="12"/>
                <w:szCs w:val="12"/>
                <w:color w:val="auto"/>
              </w:rPr>
              <w:t xml:space="preserve"> May submit nominees consisting of up to 20% of our Board or two directors</w:t>
            </w:r>
          </w:p>
        </w:tc>
        <w:tc>
          <w:tcPr>
            <w:tcW w:w="0" w:type="dxa"/>
            <w:vAlign w:val="bottom"/>
          </w:tcPr>
          <w:p>
            <w:pPr>
              <w:spacing w:after="0"/>
              <w:rPr>
                <w:sz w:val="1"/>
                <w:szCs w:val="1"/>
                <w:color w:val="auto"/>
              </w:rPr>
            </w:pPr>
          </w:p>
        </w:tc>
      </w:tr>
      <w:tr>
        <w:trPr>
          <w:trHeight w:val="73"/>
        </w:trPr>
        <w:tc>
          <w:tcPr>
            <w:tcW w:w="2200" w:type="dxa"/>
            <w:vAlign w:val="bottom"/>
            <w:tcBorders>
              <w:right w:val="single" w:sz="8" w:color="63C1DF"/>
            </w:tcBorders>
            <w:vMerge w:val="continue"/>
          </w:tcPr>
          <w:p>
            <w:pPr>
              <w:spacing w:after="0"/>
              <w:rPr>
                <w:sz w:val="6"/>
                <w:szCs w:val="6"/>
                <w:color w:val="auto"/>
              </w:rPr>
            </w:pPr>
          </w:p>
        </w:tc>
        <w:tc>
          <w:tcPr>
            <w:tcW w:w="620" w:type="dxa"/>
            <w:vAlign w:val="bottom"/>
            <w:tcBorders>
              <w:right w:val="single" w:sz="8" w:color="63C1DF"/>
            </w:tcBorders>
          </w:tcPr>
          <w:p>
            <w:pPr>
              <w:spacing w:after="0"/>
              <w:rPr>
                <w:sz w:val="6"/>
                <w:szCs w:val="6"/>
                <w:color w:val="auto"/>
              </w:rPr>
            </w:pPr>
          </w:p>
        </w:tc>
        <w:tc>
          <w:tcPr>
            <w:tcW w:w="8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200" w:type="dxa"/>
            <w:vAlign w:val="bottom"/>
            <w:tcBorders>
              <w:right w:val="single" w:sz="8" w:color="63C1DF"/>
            </w:tcBorders>
          </w:tcPr>
          <w:p>
            <w:pPr>
              <w:spacing w:after="0"/>
              <w:rPr>
                <w:sz w:val="6"/>
                <w:szCs w:val="6"/>
                <w:color w:val="auto"/>
              </w:rPr>
            </w:pPr>
          </w:p>
        </w:tc>
        <w:tc>
          <w:tcPr>
            <w:tcW w:w="620" w:type="dxa"/>
            <w:vAlign w:val="bottom"/>
            <w:tcBorders>
              <w:right w:val="single" w:sz="8" w:color="63C1DF"/>
            </w:tcBorders>
          </w:tcPr>
          <w:p>
            <w:pPr>
              <w:spacing w:after="0"/>
              <w:rPr>
                <w:sz w:val="6"/>
                <w:szCs w:val="6"/>
                <w:color w:val="auto"/>
              </w:rPr>
            </w:pPr>
          </w:p>
        </w:tc>
        <w:tc>
          <w:tcPr>
            <w:tcW w:w="8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2200" w:type="dxa"/>
            <w:vAlign w:val="bottom"/>
            <w:tcBorders>
              <w:bottom w:val="single" w:sz="8" w:color="00B2E5"/>
              <w:right w:val="single" w:sz="8" w:color="63C1DF"/>
            </w:tcBorders>
          </w:tcPr>
          <w:p>
            <w:pPr>
              <w:spacing w:after="0"/>
              <w:rPr>
                <w:sz w:val="22"/>
                <w:szCs w:val="22"/>
                <w:color w:val="auto"/>
              </w:rPr>
            </w:pPr>
          </w:p>
        </w:tc>
        <w:tc>
          <w:tcPr>
            <w:tcW w:w="620" w:type="dxa"/>
            <w:vAlign w:val="bottom"/>
            <w:tcBorders>
              <w:bottom w:val="single" w:sz="8" w:color="00B2E5"/>
              <w:right w:val="single" w:sz="8" w:color="63C1DF"/>
            </w:tcBorders>
          </w:tcPr>
          <w:p>
            <w:pPr>
              <w:spacing w:after="0"/>
              <w:rPr>
                <w:sz w:val="22"/>
                <w:szCs w:val="22"/>
                <w:color w:val="auto"/>
              </w:rPr>
            </w:pPr>
          </w:p>
        </w:tc>
        <w:tc>
          <w:tcPr>
            <w:tcW w:w="8480" w:type="dxa"/>
            <w:vAlign w:val="bottom"/>
            <w:tcBorders>
              <w:bottom w:val="single" w:sz="8" w:color="00B2E5"/>
            </w:tcBorders>
            <w:gridSpan w:val="2"/>
          </w:tcPr>
          <w:p>
            <w:pPr>
              <w:ind w:left="80"/>
              <w:spacing w:after="0" w:line="138" w:lineRule="exact"/>
              <w:rPr>
                <w:sz w:val="20"/>
                <w:szCs w:val="20"/>
                <w:color w:val="auto"/>
              </w:rPr>
            </w:pPr>
            <w:r>
              <w:rPr>
                <w:rFonts w:ascii="MS PGothic" w:cs="MS PGothic" w:eastAsia="MS PGothic" w:hAnsi="MS PGothic"/>
                <w:sz w:val="12"/>
                <w:szCs w:val="12"/>
                <w:color w:val="00B2E5"/>
              </w:rPr>
              <w:t>✔</w:t>
            </w:r>
            <w:r>
              <w:rPr>
                <w:rFonts w:ascii="Arial" w:cs="Arial" w:eastAsia="Arial" w:hAnsi="Arial"/>
                <w:sz w:val="12"/>
                <w:szCs w:val="12"/>
                <w:color w:val="auto"/>
              </w:rPr>
              <w:t xml:space="preserve"> Up to 20 stockholders may group together to reach 3% stock ownership threshold</w:t>
            </w:r>
          </w:p>
        </w:tc>
        <w:tc>
          <w:tcPr>
            <w:tcW w:w="0" w:type="dxa"/>
            <w:vAlign w:val="bottom"/>
          </w:tcPr>
          <w:p>
            <w:pPr>
              <w:spacing w:after="0"/>
              <w:rPr>
                <w:sz w:val="1"/>
                <w:szCs w:val="1"/>
                <w:color w:val="auto"/>
              </w:rPr>
            </w:pPr>
          </w:p>
        </w:tc>
      </w:tr>
      <w:tr>
        <w:trPr>
          <w:trHeight w:val="112"/>
        </w:trPr>
        <w:tc>
          <w:tcPr>
            <w:tcW w:w="2200" w:type="dxa"/>
            <w:vAlign w:val="bottom"/>
            <w:tcBorders>
              <w:right w:val="single" w:sz="8" w:color="63C1DF"/>
            </w:tcBorders>
          </w:tcPr>
          <w:p>
            <w:pPr>
              <w:ind w:left="220"/>
              <w:spacing w:after="0" w:line="112" w:lineRule="exact"/>
              <w:rPr>
                <w:sz w:val="20"/>
                <w:szCs w:val="20"/>
                <w:color w:val="auto"/>
              </w:rPr>
            </w:pPr>
            <w:r>
              <w:rPr>
                <w:rFonts w:ascii="Arial" w:cs="Arial" w:eastAsia="Arial" w:hAnsi="Arial"/>
                <w:sz w:val="12"/>
                <w:szCs w:val="12"/>
                <w:b w:val="1"/>
                <w:bCs w:val="1"/>
                <w:color w:val="auto"/>
              </w:rPr>
              <w:t>Adopted Right to Call a Special</w:t>
            </w:r>
          </w:p>
        </w:tc>
        <w:tc>
          <w:tcPr>
            <w:tcW w:w="620" w:type="dxa"/>
            <w:vAlign w:val="bottom"/>
            <w:tcBorders>
              <w:right w:val="single" w:sz="8" w:color="63C1DF"/>
            </w:tcBorders>
            <w:vMerge w:val="restart"/>
          </w:tcPr>
          <w:p>
            <w:pPr>
              <w:jc w:val="right"/>
              <w:ind w:right="181"/>
              <w:spacing w:after="0"/>
              <w:rPr>
                <w:sz w:val="20"/>
                <w:szCs w:val="20"/>
                <w:color w:val="auto"/>
              </w:rPr>
            </w:pPr>
            <w:r>
              <w:rPr>
                <w:rFonts w:ascii="Arial" w:cs="Arial" w:eastAsia="Arial" w:hAnsi="Arial"/>
                <w:sz w:val="12"/>
                <w:szCs w:val="12"/>
                <w:b w:val="1"/>
                <w:bCs w:val="1"/>
                <w:color w:val="auto"/>
              </w:rPr>
              <w:t>2017</w:t>
            </w:r>
          </w:p>
        </w:tc>
        <w:tc>
          <w:tcPr>
            <w:tcW w:w="8480" w:type="dxa"/>
            <w:vAlign w:val="bottom"/>
            <w:gridSpan w:val="2"/>
          </w:tcPr>
          <w:p>
            <w:pPr>
              <w:ind w:left="80"/>
              <w:spacing w:after="0" w:line="112" w:lineRule="exact"/>
              <w:rPr>
                <w:sz w:val="20"/>
                <w:szCs w:val="20"/>
                <w:color w:val="auto"/>
              </w:rPr>
            </w:pPr>
            <w:r>
              <w:rPr>
                <w:rFonts w:ascii="MS PGothic" w:cs="MS PGothic" w:eastAsia="MS PGothic" w:hAnsi="MS PGothic"/>
                <w:sz w:val="12"/>
                <w:szCs w:val="12"/>
                <w:color w:val="00B2E5"/>
              </w:rPr>
              <w:t>✔</w:t>
            </w:r>
            <w:r>
              <w:rPr>
                <w:rFonts w:ascii="Arial" w:cs="Arial" w:eastAsia="Arial" w:hAnsi="Arial"/>
                <w:sz w:val="12"/>
                <w:szCs w:val="12"/>
                <w:color w:val="auto"/>
              </w:rPr>
              <w:t xml:space="preserve"> Stockholders owning 25% or more of our shares may request a special meeting of stockholders</w:t>
            </w:r>
          </w:p>
        </w:tc>
        <w:tc>
          <w:tcPr>
            <w:tcW w:w="0" w:type="dxa"/>
            <w:vAlign w:val="bottom"/>
          </w:tcPr>
          <w:p>
            <w:pPr>
              <w:spacing w:after="0"/>
              <w:rPr>
                <w:sz w:val="1"/>
                <w:szCs w:val="1"/>
                <w:color w:val="auto"/>
              </w:rPr>
            </w:pPr>
          </w:p>
        </w:tc>
      </w:tr>
      <w:tr>
        <w:trPr>
          <w:trHeight w:val="151"/>
        </w:trPr>
        <w:tc>
          <w:tcPr>
            <w:tcW w:w="2200" w:type="dxa"/>
            <w:vAlign w:val="bottom"/>
            <w:tcBorders>
              <w:right w:val="single" w:sz="8" w:color="63C1DF"/>
            </w:tcBorders>
          </w:tcPr>
          <w:p>
            <w:pPr>
              <w:ind w:left="220"/>
              <w:spacing w:after="0"/>
              <w:rPr>
                <w:sz w:val="20"/>
                <w:szCs w:val="20"/>
                <w:color w:val="auto"/>
              </w:rPr>
            </w:pPr>
            <w:r>
              <w:rPr>
                <w:rFonts w:ascii="Arial" w:cs="Arial" w:eastAsia="Arial" w:hAnsi="Arial"/>
                <w:sz w:val="12"/>
                <w:szCs w:val="12"/>
                <w:b w:val="1"/>
                <w:bCs w:val="1"/>
                <w:color w:val="auto"/>
              </w:rPr>
              <w:t>Meeting of Stockholders</w:t>
            </w:r>
          </w:p>
        </w:tc>
        <w:tc>
          <w:tcPr>
            <w:tcW w:w="620" w:type="dxa"/>
            <w:vAlign w:val="bottom"/>
            <w:tcBorders>
              <w:right w:val="single" w:sz="8" w:color="63C1DF"/>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200" w:type="dxa"/>
            <w:vAlign w:val="bottom"/>
            <w:tcBorders>
              <w:top w:val="single" w:sz="8" w:color="00B2E5"/>
              <w:right w:val="single" w:sz="8" w:color="63C1DF"/>
            </w:tcBorders>
          </w:tcPr>
          <w:p>
            <w:pPr>
              <w:ind w:left="220"/>
              <w:spacing w:after="0" w:line="112" w:lineRule="exact"/>
              <w:rPr>
                <w:sz w:val="20"/>
                <w:szCs w:val="20"/>
                <w:color w:val="auto"/>
              </w:rPr>
            </w:pPr>
            <w:r>
              <w:rPr>
                <w:rFonts w:ascii="Arial" w:cs="Arial" w:eastAsia="Arial" w:hAnsi="Arial"/>
                <w:sz w:val="12"/>
                <w:szCs w:val="12"/>
                <w:b w:val="1"/>
                <w:bCs w:val="1"/>
                <w:color w:val="auto"/>
              </w:rPr>
              <w:t>Removed Supermajority</w:t>
            </w:r>
          </w:p>
        </w:tc>
        <w:tc>
          <w:tcPr>
            <w:tcW w:w="620" w:type="dxa"/>
            <w:vAlign w:val="bottom"/>
            <w:tcBorders>
              <w:top w:val="single" w:sz="8" w:color="00B2E5"/>
              <w:right w:val="single" w:sz="8" w:color="63C1DF"/>
            </w:tcBorders>
          </w:tcPr>
          <w:p>
            <w:pPr>
              <w:spacing w:after="0"/>
              <w:rPr>
                <w:sz w:val="9"/>
                <w:szCs w:val="9"/>
                <w:color w:val="auto"/>
              </w:rPr>
            </w:pPr>
          </w:p>
        </w:tc>
        <w:tc>
          <w:tcPr>
            <w:tcW w:w="8480" w:type="dxa"/>
            <w:vAlign w:val="bottom"/>
            <w:tcBorders>
              <w:top w:val="single" w:sz="8" w:color="00B2E5"/>
            </w:tcBorders>
            <w:gridSpan w:val="2"/>
          </w:tcPr>
          <w:p>
            <w:pPr>
              <w:ind w:left="80"/>
              <w:spacing w:after="0" w:line="112" w:lineRule="exact"/>
              <w:rPr>
                <w:sz w:val="20"/>
                <w:szCs w:val="20"/>
                <w:color w:val="auto"/>
              </w:rPr>
            </w:pPr>
            <w:r>
              <w:rPr>
                <w:rFonts w:ascii="MS PGothic" w:cs="MS PGothic" w:eastAsia="MS PGothic" w:hAnsi="MS PGothic"/>
                <w:sz w:val="12"/>
                <w:szCs w:val="12"/>
                <w:color w:val="00B2E5"/>
              </w:rPr>
              <w:t>✔</w:t>
            </w:r>
            <w:r>
              <w:rPr>
                <w:rFonts w:ascii="Arial" w:cs="Arial" w:eastAsia="Arial" w:hAnsi="Arial"/>
                <w:sz w:val="12"/>
                <w:szCs w:val="12"/>
                <w:color w:val="auto"/>
              </w:rPr>
              <w:t xml:space="preserve"> Supermajority provision to approve business combinations was eliminated</w:t>
            </w:r>
          </w:p>
        </w:tc>
        <w:tc>
          <w:tcPr>
            <w:tcW w:w="0" w:type="dxa"/>
            <w:vAlign w:val="bottom"/>
          </w:tcPr>
          <w:p>
            <w:pPr>
              <w:spacing w:after="0"/>
              <w:rPr>
                <w:sz w:val="1"/>
                <w:szCs w:val="1"/>
                <w:color w:val="auto"/>
              </w:rPr>
            </w:pPr>
          </w:p>
        </w:tc>
      </w:tr>
      <w:tr>
        <w:trPr>
          <w:trHeight w:val="137"/>
        </w:trPr>
        <w:tc>
          <w:tcPr>
            <w:tcW w:w="2200" w:type="dxa"/>
            <w:vAlign w:val="bottom"/>
            <w:tcBorders>
              <w:right w:val="single" w:sz="8" w:color="63C1DF"/>
            </w:tcBorders>
          </w:tcPr>
          <w:p>
            <w:pPr>
              <w:ind w:left="220"/>
              <w:spacing w:after="0" w:line="137" w:lineRule="exact"/>
              <w:rPr>
                <w:sz w:val="20"/>
                <w:szCs w:val="20"/>
                <w:color w:val="auto"/>
              </w:rPr>
            </w:pPr>
            <w:r>
              <w:rPr>
                <w:rFonts w:ascii="Arial" w:cs="Arial" w:eastAsia="Arial" w:hAnsi="Arial"/>
                <w:sz w:val="12"/>
                <w:szCs w:val="12"/>
                <w:b w:val="1"/>
                <w:bCs w:val="1"/>
                <w:color w:val="auto"/>
              </w:rPr>
              <w:t>Provision to Approve Business</w:t>
            </w:r>
          </w:p>
        </w:tc>
        <w:tc>
          <w:tcPr>
            <w:tcW w:w="620" w:type="dxa"/>
            <w:vAlign w:val="bottom"/>
            <w:tcBorders>
              <w:right w:val="single" w:sz="8" w:color="63C1DF"/>
            </w:tcBorders>
          </w:tcPr>
          <w:p>
            <w:pPr>
              <w:jc w:val="right"/>
              <w:ind w:right="181"/>
              <w:spacing w:after="0" w:line="137" w:lineRule="exact"/>
              <w:rPr>
                <w:sz w:val="20"/>
                <w:szCs w:val="20"/>
                <w:color w:val="auto"/>
              </w:rPr>
            </w:pPr>
            <w:r>
              <w:rPr>
                <w:rFonts w:ascii="Arial" w:cs="Arial" w:eastAsia="Arial" w:hAnsi="Arial"/>
                <w:sz w:val="12"/>
                <w:szCs w:val="12"/>
                <w:b w:val="1"/>
                <w:bCs w:val="1"/>
                <w:color w:val="auto"/>
              </w:rPr>
              <w:t>2017</w:t>
            </w:r>
          </w:p>
        </w:tc>
        <w:tc>
          <w:tcPr>
            <w:tcW w:w="24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200" w:type="dxa"/>
            <w:vAlign w:val="bottom"/>
            <w:tcBorders>
              <w:bottom w:val="single" w:sz="8" w:color="00B2E5"/>
              <w:right w:val="single" w:sz="8" w:color="63C1DF"/>
            </w:tcBorders>
          </w:tcPr>
          <w:p>
            <w:pPr>
              <w:ind w:left="220"/>
              <w:spacing w:after="0"/>
              <w:rPr>
                <w:sz w:val="20"/>
                <w:szCs w:val="20"/>
                <w:color w:val="auto"/>
              </w:rPr>
            </w:pPr>
            <w:r>
              <w:rPr>
                <w:rFonts w:ascii="Arial" w:cs="Arial" w:eastAsia="Arial" w:hAnsi="Arial"/>
                <w:sz w:val="12"/>
                <w:szCs w:val="12"/>
                <w:b w:val="1"/>
                <w:bCs w:val="1"/>
                <w:color w:val="auto"/>
              </w:rPr>
              <w:t>Combinations</w:t>
            </w:r>
          </w:p>
        </w:tc>
        <w:tc>
          <w:tcPr>
            <w:tcW w:w="620" w:type="dxa"/>
            <w:vAlign w:val="bottom"/>
            <w:tcBorders>
              <w:bottom w:val="single" w:sz="8" w:color="00B2E5"/>
              <w:right w:val="single" w:sz="8" w:color="63C1DF"/>
            </w:tcBorders>
          </w:tcPr>
          <w:p>
            <w:pPr>
              <w:spacing w:after="0"/>
              <w:rPr>
                <w:sz w:val="13"/>
                <w:szCs w:val="13"/>
                <w:color w:val="auto"/>
              </w:rPr>
            </w:pPr>
          </w:p>
        </w:tc>
        <w:tc>
          <w:tcPr>
            <w:tcW w:w="240" w:type="dxa"/>
            <w:vAlign w:val="bottom"/>
            <w:tcBorders>
              <w:bottom w:val="single" w:sz="8" w:color="00B2E5"/>
            </w:tcBorders>
          </w:tcPr>
          <w:p>
            <w:pPr>
              <w:spacing w:after="0"/>
              <w:rPr>
                <w:sz w:val="13"/>
                <w:szCs w:val="13"/>
                <w:color w:val="auto"/>
              </w:rPr>
            </w:pPr>
          </w:p>
        </w:tc>
        <w:tc>
          <w:tcPr>
            <w:tcW w:w="8240" w:type="dxa"/>
            <w:vAlign w:val="bottom"/>
            <w:tcBorders>
              <w:bottom w:val="single" w:sz="8" w:color="00B2E5"/>
            </w:tcBorders>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40" w:type="dxa"/>
            <w:vAlign w:val="bottom"/>
          </w:tcPr>
          <w:p>
            <w:pPr>
              <w:ind w:left="256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9"/>
        </w:trPr>
        <w:tc>
          <w:tcPr>
            <w:tcW w:w="220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2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7163435</wp:posOffset>
            </wp:positionH>
            <wp:positionV relativeFrom="paragraph">
              <wp:posOffset>-11430</wp:posOffset>
            </wp:positionV>
            <wp:extent cx="1270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7" w:name="page28"/>
    <w:bookmarkEnd w:id="27"/>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Corporate Governance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2073275</wp:posOffset>
            </wp:positionH>
            <wp:positionV relativeFrom="paragraph">
              <wp:posOffset>102870</wp:posOffset>
            </wp:positionV>
            <wp:extent cx="3027045" cy="1042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27045" cy="104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0840" w:type="dxa"/>
            <w:vAlign w:val="bottom"/>
            <w:tcBorders>
              <w:bottom w:val="single" w:sz="8" w:color="00B2E5"/>
            </w:tcBorders>
          </w:tcPr>
          <w:p>
            <w:pPr>
              <w:spacing w:after="0"/>
              <w:rPr>
                <w:sz w:val="20"/>
                <w:szCs w:val="20"/>
                <w:color w:val="auto"/>
              </w:rPr>
            </w:pPr>
            <w:r>
              <w:rPr>
                <w:rFonts w:ascii="Arial" w:cs="Arial" w:eastAsia="Arial" w:hAnsi="Arial"/>
                <w:sz w:val="12"/>
                <w:szCs w:val="12"/>
                <w:b w:val="1"/>
                <w:bCs w:val="1"/>
                <w:color w:val="auto"/>
              </w:rPr>
              <w:t>Criteria</w:t>
            </w:r>
          </w:p>
        </w:tc>
        <w:tc>
          <w:tcPr>
            <w:tcW w:w="460" w:type="dxa"/>
            <w:vAlign w:val="bottom"/>
            <w:tcBorders>
              <w:bottom w:val="single" w:sz="8" w:color="00B2E5"/>
            </w:tcBorders>
          </w:tcPr>
          <w:p>
            <w:pPr>
              <w:jc w:val="center"/>
              <w:ind w:left="41"/>
              <w:spacing w:after="0"/>
              <w:rPr>
                <w:sz w:val="20"/>
                <w:szCs w:val="20"/>
                <w:color w:val="auto"/>
              </w:rPr>
            </w:pPr>
            <w:r>
              <w:rPr>
                <w:rFonts w:ascii="Arial" w:cs="Arial" w:eastAsia="Arial" w:hAnsi="Arial"/>
                <w:sz w:val="12"/>
                <w:szCs w:val="12"/>
                <w:b w:val="1"/>
                <w:bCs w:val="1"/>
                <w:color w:val="auto"/>
                <w:w w:val="97"/>
              </w:rPr>
              <w:t>Detail</w:t>
            </w:r>
          </w:p>
        </w:tc>
      </w:tr>
      <w:tr>
        <w:trPr>
          <w:trHeight w:val="135"/>
        </w:trPr>
        <w:tc>
          <w:tcPr>
            <w:tcW w:w="10840" w:type="dxa"/>
            <w:vAlign w:val="bottom"/>
            <w:tcBorders>
              <w:bottom w:val="single" w:sz="8" w:color="00B2E5"/>
              <w:right w:val="single" w:sz="8" w:color="63C1DF"/>
            </w:tcBorders>
          </w:tcPr>
          <w:p>
            <w:pPr>
              <w:spacing w:after="0" w:line="135" w:lineRule="exact"/>
              <w:rPr>
                <w:sz w:val="20"/>
                <w:szCs w:val="20"/>
                <w:color w:val="auto"/>
              </w:rPr>
            </w:pPr>
            <w:r>
              <w:rPr>
                <w:rFonts w:ascii="Arial" w:cs="Arial" w:eastAsia="Arial" w:hAnsi="Arial"/>
                <w:sz w:val="12"/>
                <w:szCs w:val="12"/>
                <w:color w:val="auto"/>
              </w:rPr>
              <w:t>Audit, Compensation and Organization, and Nominating and Governance Committees Consist Entirely of Independent Directors</w:t>
            </w:r>
          </w:p>
        </w:tc>
        <w:tc>
          <w:tcPr>
            <w:tcW w:w="460" w:type="dxa"/>
            <w:vAlign w:val="bottom"/>
            <w:tcBorders>
              <w:bottom w:val="single" w:sz="8" w:color="00B2E5"/>
            </w:tcBorders>
          </w:tcPr>
          <w:p>
            <w:pPr>
              <w:jc w:val="center"/>
              <w:ind w:left="21"/>
              <w:spacing w:after="0" w:line="135" w:lineRule="exact"/>
              <w:rPr>
                <w:sz w:val="20"/>
                <w:szCs w:val="20"/>
                <w:color w:val="auto"/>
              </w:rPr>
            </w:pPr>
            <w:r>
              <w:rPr>
                <w:rFonts w:ascii="Arial" w:cs="Arial" w:eastAsia="Arial" w:hAnsi="Arial"/>
                <w:sz w:val="12"/>
                <w:szCs w:val="12"/>
                <w:color w:val="auto"/>
                <w:w w:val="86"/>
              </w:rPr>
              <w:t>Yes</w:t>
            </w:r>
          </w:p>
        </w:tc>
      </w:tr>
      <w:tr>
        <w:trPr>
          <w:trHeight w:val="126"/>
        </w:trPr>
        <w:tc>
          <w:tcPr>
            <w:tcW w:w="10840" w:type="dxa"/>
            <w:vAlign w:val="bottom"/>
            <w:tcBorders>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Annual Election of All Directors</w:t>
            </w:r>
          </w:p>
        </w:tc>
        <w:tc>
          <w:tcPr>
            <w:tcW w:w="460" w:type="dxa"/>
            <w:vAlign w:val="bottom"/>
            <w:tcBorders>
              <w:bottom w:val="single" w:sz="8" w:color="00B2E5"/>
            </w:tcBorders>
          </w:tcPr>
          <w:p>
            <w:pPr>
              <w:jc w:val="center"/>
              <w:ind w:left="21"/>
              <w:spacing w:after="0" w:line="126" w:lineRule="exact"/>
              <w:rPr>
                <w:sz w:val="20"/>
                <w:szCs w:val="20"/>
                <w:color w:val="auto"/>
              </w:rPr>
            </w:pPr>
            <w:r>
              <w:rPr>
                <w:rFonts w:ascii="Arial" w:cs="Arial" w:eastAsia="Arial" w:hAnsi="Arial"/>
                <w:sz w:val="12"/>
                <w:szCs w:val="12"/>
                <w:color w:val="auto"/>
                <w:w w:val="86"/>
              </w:rPr>
              <w:t>Yes</w:t>
            </w:r>
          </w:p>
        </w:tc>
      </w:tr>
      <w:tr>
        <w:trPr>
          <w:trHeight w:val="126"/>
        </w:trPr>
        <w:tc>
          <w:tcPr>
            <w:tcW w:w="10840" w:type="dxa"/>
            <w:vAlign w:val="bottom"/>
            <w:tcBorders>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Annual Advisory Say-on-Pay Vote</w:t>
            </w:r>
          </w:p>
        </w:tc>
        <w:tc>
          <w:tcPr>
            <w:tcW w:w="460" w:type="dxa"/>
            <w:vAlign w:val="bottom"/>
            <w:tcBorders>
              <w:bottom w:val="single" w:sz="8" w:color="00B2E5"/>
            </w:tcBorders>
          </w:tcPr>
          <w:p>
            <w:pPr>
              <w:jc w:val="center"/>
              <w:ind w:left="21"/>
              <w:spacing w:after="0" w:line="126" w:lineRule="exact"/>
              <w:rPr>
                <w:sz w:val="20"/>
                <w:szCs w:val="20"/>
                <w:color w:val="auto"/>
              </w:rPr>
            </w:pPr>
            <w:r>
              <w:rPr>
                <w:rFonts w:ascii="Arial" w:cs="Arial" w:eastAsia="Arial" w:hAnsi="Arial"/>
                <w:sz w:val="12"/>
                <w:szCs w:val="12"/>
                <w:color w:val="auto"/>
                <w:w w:val="86"/>
              </w:rPr>
              <w:t>Yes</w:t>
            </w:r>
          </w:p>
        </w:tc>
      </w:tr>
      <w:tr>
        <w:trPr>
          <w:trHeight w:val="126"/>
        </w:trPr>
        <w:tc>
          <w:tcPr>
            <w:tcW w:w="10840" w:type="dxa"/>
            <w:vAlign w:val="bottom"/>
            <w:tcBorders>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All Directors Attended More Than 75% of Meetings Held</w:t>
            </w:r>
          </w:p>
        </w:tc>
        <w:tc>
          <w:tcPr>
            <w:tcW w:w="460" w:type="dxa"/>
            <w:vAlign w:val="bottom"/>
            <w:tcBorders>
              <w:bottom w:val="single" w:sz="8" w:color="00B2E5"/>
            </w:tcBorders>
          </w:tcPr>
          <w:p>
            <w:pPr>
              <w:jc w:val="center"/>
              <w:ind w:left="21"/>
              <w:spacing w:after="0" w:line="126" w:lineRule="exact"/>
              <w:rPr>
                <w:sz w:val="20"/>
                <w:szCs w:val="20"/>
                <w:color w:val="auto"/>
              </w:rPr>
            </w:pPr>
            <w:r>
              <w:rPr>
                <w:rFonts w:ascii="Arial" w:cs="Arial" w:eastAsia="Arial" w:hAnsi="Arial"/>
                <w:sz w:val="12"/>
                <w:szCs w:val="12"/>
                <w:color w:val="auto"/>
                <w:w w:val="86"/>
              </w:rPr>
              <w:t>Yes</w:t>
            </w:r>
          </w:p>
        </w:tc>
      </w:tr>
      <w:tr>
        <w:trPr>
          <w:trHeight w:val="126"/>
        </w:trPr>
        <w:tc>
          <w:tcPr>
            <w:tcW w:w="10840" w:type="dxa"/>
            <w:vAlign w:val="bottom"/>
            <w:tcBorders>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Independent Directors Meet Regularly in Executive Session</w:t>
            </w:r>
          </w:p>
        </w:tc>
        <w:tc>
          <w:tcPr>
            <w:tcW w:w="460" w:type="dxa"/>
            <w:vAlign w:val="bottom"/>
            <w:tcBorders>
              <w:bottom w:val="single" w:sz="8" w:color="00B2E5"/>
            </w:tcBorders>
          </w:tcPr>
          <w:p>
            <w:pPr>
              <w:jc w:val="center"/>
              <w:ind w:left="21"/>
              <w:spacing w:after="0" w:line="126" w:lineRule="exact"/>
              <w:rPr>
                <w:sz w:val="20"/>
                <w:szCs w:val="20"/>
                <w:color w:val="auto"/>
              </w:rPr>
            </w:pPr>
            <w:r>
              <w:rPr>
                <w:rFonts w:ascii="Arial" w:cs="Arial" w:eastAsia="Arial" w:hAnsi="Arial"/>
                <w:sz w:val="12"/>
                <w:szCs w:val="12"/>
                <w:color w:val="auto"/>
                <w:w w:val="86"/>
              </w:rPr>
              <w:t>Yes</w:t>
            </w:r>
          </w:p>
        </w:tc>
      </w:tr>
      <w:tr>
        <w:trPr>
          <w:trHeight w:val="126"/>
        </w:trPr>
        <w:tc>
          <w:tcPr>
            <w:tcW w:w="10840" w:type="dxa"/>
            <w:vAlign w:val="bottom"/>
            <w:tcBorders>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Annual Board and Committee Self Evaluations</w:t>
            </w:r>
          </w:p>
        </w:tc>
        <w:tc>
          <w:tcPr>
            <w:tcW w:w="460" w:type="dxa"/>
            <w:vAlign w:val="bottom"/>
            <w:tcBorders>
              <w:bottom w:val="single" w:sz="8" w:color="00B2E5"/>
            </w:tcBorders>
          </w:tcPr>
          <w:p>
            <w:pPr>
              <w:jc w:val="center"/>
              <w:ind w:left="21"/>
              <w:spacing w:after="0" w:line="126" w:lineRule="exact"/>
              <w:rPr>
                <w:sz w:val="20"/>
                <w:szCs w:val="20"/>
                <w:color w:val="auto"/>
              </w:rPr>
            </w:pPr>
            <w:r>
              <w:rPr>
                <w:rFonts w:ascii="Arial" w:cs="Arial" w:eastAsia="Arial" w:hAnsi="Arial"/>
                <w:sz w:val="12"/>
                <w:szCs w:val="12"/>
                <w:color w:val="auto"/>
                <w:w w:val="86"/>
              </w:rPr>
              <w:t>Yes</w:t>
            </w:r>
          </w:p>
        </w:tc>
      </w:tr>
      <w:tr>
        <w:trPr>
          <w:trHeight w:val="126"/>
        </w:trPr>
        <w:tc>
          <w:tcPr>
            <w:tcW w:w="10840" w:type="dxa"/>
            <w:vAlign w:val="bottom"/>
            <w:tcBorders>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Code of Business Conduct and Ethics</w:t>
            </w:r>
          </w:p>
        </w:tc>
        <w:tc>
          <w:tcPr>
            <w:tcW w:w="460" w:type="dxa"/>
            <w:vAlign w:val="bottom"/>
            <w:tcBorders>
              <w:bottom w:val="single" w:sz="8" w:color="00B2E5"/>
            </w:tcBorders>
          </w:tcPr>
          <w:p>
            <w:pPr>
              <w:jc w:val="center"/>
              <w:ind w:left="21"/>
              <w:spacing w:after="0" w:line="126" w:lineRule="exact"/>
              <w:rPr>
                <w:sz w:val="20"/>
                <w:szCs w:val="20"/>
                <w:color w:val="auto"/>
              </w:rPr>
            </w:pPr>
            <w:r>
              <w:rPr>
                <w:rFonts w:ascii="Arial" w:cs="Arial" w:eastAsia="Arial" w:hAnsi="Arial"/>
                <w:sz w:val="12"/>
                <w:szCs w:val="12"/>
                <w:color w:val="auto"/>
                <w:w w:val="86"/>
              </w:rPr>
              <w:t>Yes</w:t>
            </w:r>
          </w:p>
        </w:tc>
      </w:tr>
      <w:tr>
        <w:trPr>
          <w:trHeight w:val="126"/>
        </w:trPr>
        <w:tc>
          <w:tcPr>
            <w:tcW w:w="10840" w:type="dxa"/>
            <w:vAlign w:val="bottom"/>
            <w:tcBorders>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Corporate Governance Guidelines</w:t>
            </w:r>
          </w:p>
        </w:tc>
        <w:tc>
          <w:tcPr>
            <w:tcW w:w="460" w:type="dxa"/>
            <w:vAlign w:val="bottom"/>
            <w:tcBorders>
              <w:bottom w:val="single" w:sz="8" w:color="00B2E5"/>
            </w:tcBorders>
          </w:tcPr>
          <w:p>
            <w:pPr>
              <w:jc w:val="center"/>
              <w:ind w:left="21"/>
              <w:spacing w:after="0" w:line="126" w:lineRule="exact"/>
              <w:rPr>
                <w:sz w:val="20"/>
                <w:szCs w:val="20"/>
                <w:color w:val="auto"/>
              </w:rPr>
            </w:pPr>
            <w:r>
              <w:rPr>
                <w:rFonts w:ascii="Arial" w:cs="Arial" w:eastAsia="Arial" w:hAnsi="Arial"/>
                <w:sz w:val="12"/>
                <w:szCs w:val="12"/>
                <w:color w:val="auto"/>
                <w:w w:val="86"/>
              </w:rPr>
              <w:t>Yes</w:t>
            </w:r>
          </w:p>
        </w:tc>
      </w:tr>
      <w:tr>
        <w:trPr>
          <w:trHeight w:val="126"/>
        </w:trPr>
        <w:tc>
          <w:tcPr>
            <w:tcW w:w="10840" w:type="dxa"/>
            <w:vAlign w:val="bottom"/>
            <w:tcBorders>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Stock Ownership Guidelines for Directors and Executive Officers</w:t>
            </w:r>
          </w:p>
        </w:tc>
        <w:tc>
          <w:tcPr>
            <w:tcW w:w="460" w:type="dxa"/>
            <w:vAlign w:val="bottom"/>
            <w:tcBorders>
              <w:bottom w:val="single" w:sz="8" w:color="00B2E5"/>
            </w:tcBorders>
          </w:tcPr>
          <w:p>
            <w:pPr>
              <w:jc w:val="center"/>
              <w:ind w:left="21"/>
              <w:spacing w:after="0" w:line="126" w:lineRule="exact"/>
              <w:rPr>
                <w:sz w:val="20"/>
                <w:szCs w:val="20"/>
                <w:color w:val="auto"/>
              </w:rPr>
            </w:pPr>
            <w:r>
              <w:rPr>
                <w:rFonts w:ascii="Arial" w:cs="Arial" w:eastAsia="Arial" w:hAnsi="Arial"/>
                <w:sz w:val="12"/>
                <w:szCs w:val="12"/>
                <w:color w:val="auto"/>
                <w:w w:val="86"/>
              </w:rPr>
              <w:t>Yes</w:t>
            </w:r>
          </w:p>
        </w:tc>
      </w:tr>
      <w:tr>
        <w:trPr>
          <w:trHeight w:val="126"/>
        </w:trPr>
        <w:tc>
          <w:tcPr>
            <w:tcW w:w="10840" w:type="dxa"/>
            <w:vAlign w:val="bottom"/>
            <w:tcBorders>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Stockholder Rights Plan (Poison Pill)</w:t>
            </w:r>
          </w:p>
        </w:tc>
        <w:tc>
          <w:tcPr>
            <w:tcW w:w="460" w:type="dxa"/>
            <w:vAlign w:val="bottom"/>
            <w:tcBorders>
              <w:bottom w:val="single" w:sz="8" w:color="00B2E5"/>
            </w:tcBorders>
          </w:tcPr>
          <w:p>
            <w:pPr>
              <w:jc w:val="center"/>
              <w:ind w:left="21"/>
              <w:spacing w:after="0" w:line="126" w:lineRule="exact"/>
              <w:rPr>
                <w:sz w:val="20"/>
                <w:szCs w:val="20"/>
                <w:color w:val="auto"/>
              </w:rPr>
            </w:pPr>
            <w:r>
              <w:rPr>
                <w:rFonts w:ascii="Arial" w:cs="Arial" w:eastAsia="Arial" w:hAnsi="Arial"/>
                <w:sz w:val="12"/>
                <w:szCs w:val="12"/>
                <w:color w:val="auto"/>
                <w:w w:val="90"/>
              </w:rPr>
              <w:t>No</w:t>
            </w:r>
          </w:p>
        </w:tc>
      </w:tr>
      <w:tr>
        <w:trPr>
          <w:trHeight w:val="126"/>
        </w:trPr>
        <w:tc>
          <w:tcPr>
            <w:tcW w:w="10840" w:type="dxa"/>
            <w:vAlign w:val="bottom"/>
            <w:tcBorders>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Proxy Access</w:t>
            </w:r>
          </w:p>
        </w:tc>
        <w:tc>
          <w:tcPr>
            <w:tcW w:w="460" w:type="dxa"/>
            <w:vAlign w:val="bottom"/>
            <w:tcBorders>
              <w:bottom w:val="single" w:sz="8" w:color="00B2E5"/>
            </w:tcBorders>
          </w:tcPr>
          <w:p>
            <w:pPr>
              <w:jc w:val="center"/>
              <w:ind w:left="21"/>
              <w:spacing w:after="0" w:line="126" w:lineRule="exact"/>
              <w:rPr>
                <w:sz w:val="20"/>
                <w:szCs w:val="20"/>
                <w:color w:val="auto"/>
              </w:rPr>
            </w:pPr>
            <w:r>
              <w:rPr>
                <w:rFonts w:ascii="Arial" w:cs="Arial" w:eastAsia="Arial" w:hAnsi="Arial"/>
                <w:sz w:val="12"/>
                <w:szCs w:val="12"/>
                <w:color w:val="auto"/>
                <w:w w:val="86"/>
              </w:rPr>
              <w:t>Yes</w:t>
            </w:r>
          </w:p>
        </w:tc>
      </w:tr>
      <w:tr>
        <w:trPr>
          <w:trHeight w:val="126"/>
        </w:trPr>
        <w:tc>
          <w:tcPr>
            <w:tcW w:w="10840" w:type="dxa"/>
            <w:vAlign w:val="bottom"/>
            <w:tcBorders>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Stockholder Right to Call a Special Meeting</w:t>
            </w:r>
          </w:p>
        </w:tc>
        <w:tc>
          <w:tcPr>
            <w:tcW w:w="460" w:type="dxa"/>
            <w:vAlign w:val="bottom"/>
            <w:tcBorders>
              <w:bottom w:val="single" w:sz="8" w:color="00B2E5"/>
            </w:tcBorders>
          </w:tcPr>
          <w:p>
            <w:pPr>
              <w:jc w:val="center"/>
              <w:ind w:left="21"/>
              <w:spacing w:after="0" w:line="126" w:lineRule="exact"/>
              <w:rPr>
                <w:sz w:val="20"/>
                <w:szCs w:val="20"/>
                <w:color w:val="auto"/>
              </w:rPr>
            </w:pPr>
            <w:r>
              <w:rPr>
                <w:rFonts w:ascii="Arial" w:cs="Arial" w:eastAsia="Arial" w:hAnsi="Arial"/>
                <w:sz w:val="12"/>
                <w:szCs w:val="12"/>
                <w:color w:val="auto"/>
                <w:w w:val="86"/>
              </w:rPr>
              <w:t>Yes</w:t>
            </w:r>
          </w:p>
        </w:tc>
      </w:tr>
      <w:tr>
        <w:trPr>
          <w:trHeight w:val="126"/>
        </w:trPr>
        <w:tc>
          <w:tcPr>
            <w:tcW w:w="10840" w:type="dxa"/>
            <w:vAlign w:val="bottom"/>
            <w:tcBorders>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Supermajority Provision to Approve Business Combinations</w:t>
            </w:r>
          </w:p>
        </w:tc>
        <w:tc>
          <w:tcPr>
            <w:tcW w:w="460" w:type="dxa"/>
            <w:vAlign w:val="bottom"/>
            <w:tcBorders>
              <w:bottom w:val="single" w:sz="8" w:color="00B2E5"/>
            </w:tcBorders>
          </w:tcPr>
          <w:p>
            <w:pPr>
              <w:jc w:val="center"/>
              <w:ind w:left="21"/>
              <w:spacing w:after="0" w:line="126" w:lineRule="exact"/>
              <w:rPr>
                <w:sz w:val="20"/>
                <w:szCs w:val="20"/>
                <w:color w:val="auto"/>
              </w:rPr>
            </w:pPr>
            <w:r>
              <w:rPr>
                <w:rFonts w:ascii="Arial" w:cs="Arial" w:eastAsia="Arial" w:hAnsi="Arial"/>
                <w:sz w:val="12"/>
                <w:szCs w:val="12"/>
                <w:color w:val="auto"/>
                <w:w w:val="90"/>
              </w:rPr>
              <w:t>No</w:t>
            </w:r>
          </w:p>
        </w:tc>
      </w:tr>
      <w:tr>
        <w:trPr>
          <w:trHeight w:val="126"/>
        </w:trPr>
        <w:tc>
          <w:tcPr>
            <w:tcW w:w="10840" w:type="dxa"/>
            <w:vAlign w:val="bottom"/>
            <w:tcBorders>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Adopted Majority Voting in Uncontested Director Elections</w:t>
            </w:r>
          </w:p>
        </w:tc>
        <w:tc>
          <w:tcPr>
            <w:tcW w:w="460" w:type="dxa"/>
            <w:vAlign w:val="bottom"/>
            <w:tcBorders>
              <w:bottom w:val="single" w:sz="8" w:color="00B2E5"/>
            </w:tcBorders>
          </w:tcPr>
          <w:p>
            <w:pPr>
              <w:jc w:val="center"/>
              <w:ind w:left="21"/>
              <w:spacing w:after="0" w:line="126" w:lineRule="exact"/>
              <w:rPr>
                <w:sz w:val="20"/>
                <w:szCs w:val="20"/>
                <w:color w:val="auto"/>
              </w:rPr>
            </w:pPr>
            <w:r>
              <w:rPr>
                <w:rFonts w:ascii="Arial" w:cs="Arial" w:eastAsia="Arial" w:hAnsi="Arial"/>
                <w:sz w:val="12"/>
                <w:szCs w:val="12"/>
                <w:color w:val="auto"/>
                <w:w w:val="86"/>
              </w:rPr>
              <w:t>Yes</w:t>
            </w:r>
          </w:p>
        </w:tc>
      </w:tr>
      <w:tr>
        <w:trPr>
          <w:trHeight w:val="126"/>
        </w:trPr>
        <w:tc>
          <w:tcPr>
            <w:tcW w:w="10840" w:type="dxa"/>
            <w:vAlign w:val="bottom"/>
            <w:tcBorders>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Separation of CEO and Chairman Roles</w:t>
            </w:r>
          </w:p>
        </w:tc>
        <w:tc>
          <w:tcPr>
            <w:tcW w:w="460" w:type="dxa"/>
            <w:vAlign w:val="bottom"/>
            <w:tcBorders>
              <w:bottom w:val="single" w:sz="8" w:color="00B2E5"/>
            </w:tcBorders>
          </w:tcPr>
          <w:p>
            <w:pPr>
              <w:jc w:val="center"/>
              <w:ind w:left="21"/>
              <w:spacing w:after="0" w:line="126" w:lineRule="exact"/>
              <w:rPr>
                <w:sz w:val="20"/>
                <w:szCs w:val="20"/>
                <w:color w:val="auto"/>
              </w:rPr>
            </w:pPr>
            <w:r>
              <w:rPr>
                <w:rFonts w:ascii="Arial" w:cs="Arial" w:eastAsia="Arial" w:hAnsi="Arial"/>
                <w:sz w:val="12"/>
                <w:szCs w:val="12"/>
                <w:color w:val="auto"/>
                <w:w w:val="86"/>
              </w:rPr>
              <w:t>Yes</w:t>
            </w:r>
          </w:p>
        </w:tc>
      </w:tr>
      <w:tr>
        <w:trPr>
          <w:trHeight w:val="282"/>
        </w:trPr>
        <w:tc>
          <w:tcPr>
            <w:tcW w:w="10840" w:type="dxa"/>
            <w:vAlign w:val="bottom"/>
          </w:tcPr>
          <w:p>
            <w:pPr>
              <w:ind w:left="5620"/>
              <w:spacing w:after="0"/>
              <w:rPr>
                <w:sz w:val="20"/>
                <w:szCs w:val="20"/>
                <w:color w:val="auto"/>
              </w:rPr>
            </w:pPr>
            <w:r>
              <w:rPr>
                <w:rFonts w:ascii="Arial" w:cs="Arial" w:eastAsia="Arial" w:hAnsi="Arial"/>
                <w:sz w:val="12"/>
                <w:szCs w:val="12"/>
                <w:color w:val="auto"/>
              </w:rPr>
              <w:t>4</w:t>
            </w:r>
          </w:p>
        </w:tc>
        <w:tc>
          <w:tcPr>
            <w:tcW w:w="460" w:type="dxa"/>
            <w:vAlign w:val="bottom"/>
          </w:tcPr>
          <w:p>
            <w:pPr>
              <w:spacing w:after="0"/>
              <w:rPr>
                <w:sz w:val="24"/>
                <w:szCs w:val="24"/>
                <w:color w:val="auto"/>
              </w:rPr>
            </w:pPr>
          </w:p>
        </w:tc>
      </w:tr>
      <w:tr>
        <w:trPr>
          <w:trHeight w:val="139"/>
        </w:trPr>
        <w:tc>
          <w:tcPr>
            <w:tcW w:w="1084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7163435</wp:posOffset>
            </wp:positionH>
            <wp:positionV relativeFrom="paragraph">
              <wp:posOffset>-11430</wp:posOffset>
            </wp:positionV>
            <wp:extent cx="1270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8" w:name="page29"/>
    <w:bookmarkEnd w:id="28"/>
    <w:p>
      <w:pPr>
        <w:ind w:left="7"/>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3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00B2E5"/>
        </w:rPr>
        <w:t>Executive Compensation Practices</w:t>
      </w:r>
    </w:p>
    <w:p>
      <w:pPr>
        <w:spacing w:after="0" w:line="150" w:lineRule="exact"/>
        <w:rPr>
          <w:sz w:val="20"/>
          <w:szCs w:val="20"/>
          <w:color w:val="auto"/>
        </w:rPr>
      </w:pPr>
    </w:p>
    <w:p>
      <w:pPr>
        <w:jc w:val="both"/>
        <w:ind w:left="7"/>
        <w:spacing w:after="0" w:line="256" w:lineRule="auto"/>
        <w:rPr>
          <w:sz w:val="20"/>
          <w:szCs w:val="20"/>
          <w:color w:val="auto"/>
        </w:rPr>
      </w:pPr>
      <w:r>
        <w:rPr>
          <w:rFonts w:ascii="Arial" w:cs="Arial" w:eastAsia="Arial" w:hAnsi="Arial"/>
          <w:sz w:val="12"/>
          <w:szCs w:val="12"/>
          <w:color w:val="auto"/>
        </w:rPr>
        <w:t>Our executive pay program provides competitive pay packages that attract, motivate, reward and retain key talent critical to achieving long-term strategic objectives, our ongoing commitment to sustainability, diversity, and inclusion, and the creation of leading shareholder value. Our executive pay program is strongly aligned with stakeholder value and promotes AECOM's ESG (Environmental, Social and Governance) and EDI (Equity, Diversity and Inclusion) initiatives.</w:t>
      </w:r>
    </w:p>
    <w:p>
      <w:pPr>
        <w:spacing w:after="0" w:line="112"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677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272" w:lineRule="exact"/>
        <w:rPr>
          <w:sz w:val="20"/>
          <w:szCs w:val="20"/>
          <w:color w:val="auto"/>
        </w:rPr>
      </w:pPr>
    </w:p>
    <w:p>
      <w:pPr>
        <w:ind w:left="147" w:hanging="147"/>
        <w:spacing w:after="0" w:line="274" w:lineRule="auto"/>
        <w:tabs>
          <w:tab w:leader="none" w:pos="147" w:val="left"/>
        </w:tabs>
        <w:numPr>
          <w:ilvl w:val="0"/>
          <w:numId w:val="9"/>
        </w:numPr>
        <w:rPr>
          <w:rFonts w:ascii="MS PGothic" w:cs="MS PGothic" w:eastAsia="MS PGothic" w:hAnsi="MS PGothic"/>
          <w:sz w:val="12"/>
          <w:szCs w:val="12"/>
          <w:color w:val="00B2E5"/>
        </w:rPr>
      </w:pPr>
      <w:r>
        <w:rPr>
          <w:rFonts w:ascii="Arial" w:cs="Arial" w:eastAsia="Arial" w:hAnsi="Arial"/>
          <w:sz w:val="12"/>
          <w:szCs w:val="12"/>
          <w:b w:val="1"/>
          <w:bCs w:val="1"/>
          <w:i w:val="1"/>
          <w:iCs w:val="1"/>
          <w:color w:val="auto"/>
        </w:rPr>
        <w:t xml:space="preserve">Pay-for-Performance — </w:t>
      </w:r>
      <w:r>
        <w:rPr>
          <w:rFonts w:ascii="Arial" w:cs="Arial" w:eastAsia="Arial" w:hAnsi="Arial"/>
          <w:sz w:val="12"/>
          <w:szCs w:val="12"/>
          <w:color w:val="auto"/>
        </w:rPr>
        <w:t>We condition a majority of performance compensation for our Named Executive Officers (NEOs) on the achievement of earnings, cash flow, Return On Invested Capital ("ROIC") targets,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Relative Total Shareholder Return ("TSR").</w:t>
      </w:r>
    </w:p>
    <w:p>
      <w:pPr>
        <w:spacing w:after="0" w:line="104" w:lineRule="exact"/>
        <w:rPr>
          <w:rFonts w:ascii="MS PGothic" w:cs="MS PGothic" w:eastAsia="MS PGothic" w:hAnsi="MS PGothic"/>
          <w:sz w:val="12"/>
          <w:szCs w:val="12"/>
          <w:color w:val="00B2E5"/>
        </w:rPr>
      </w:pPr>
    </w:p>
    <w:p>
      <w:pPr>
        <w:ind w:left="147" w:hanging="147"/>
        <w:spacing w:after="0" w:line="274" w:lineRule="auto"/>
        <w:tabs>
          <w:tab w:leader="none" w:pos="147" w:val="left"/>
        </w:tabs>
        <w:numPr>
          <w:ilvl w:val="0"/>
          <w:numId w:val="9"/>
        </w:numPr>
        <w:rPr>
          <w:rFonts w:ascii="MS PGothic" w:cs="MS PGothic" w:eastAsia="MS PGothic" w:hAnsi="MS PGothic"/>
          <w:sz w:val="12"/>
          <w:szCs w:val="12"/>
          <w:color w:val="00B2E5"/>
        </w:rPr>
      </w:pPr>
      <w:r>
        <w:rPr>
          <w:rFonts w:ascii="Arial" w:cs="Arial" w:eastAsia="Arial" w:hAnsi="Arial"/>
          <w:sz w:val="12"/>
          <w:szCs w:val="12"/>
          <w:b w:val="1"/>
          <w:bCs w:val="1"/>
          <w:i w:val="1"/>
          <w:iCs w:val="1"/>
          <w:color w:val="auto"/>
        </w:rPr>
        <w:t xml:space="preserve">Rigorous Goal Setting — </w:t>
      </w:r>
      <w:r>
        <w:rPr>
          <w:rFonts w:ascii="Arial" w:cs="Arial" w:eastAsia="Arial" w:hAnsi="Arial"/>
          <w:sz w:val="12"/>
          <w:szCs w:val="12"/>
          <w:color w:val="auto"/>
        </w:rPr>
        <w:t>We undergo a detailed process of analyzing and reviewing a number of factors including but not limited to our short- and long-term financial plan; investor input, feedback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expectations; industry and peer performance; benchmarking; and overall achievability.</w:t>
      </w:r>
    </w:p>
    <w:p>
      <w:pPr>
        <w:spacing w:after="0" w:line="104" w:lineRule="exact"/>
        <w:rPr>
          <w:rFonts w:ascii="MS PGothic" w:cs="MS PGothic" w:eastAsia="MS PGothic" w:hAnsi="MS PGothic"/>
          <w:sz w:val="12"/>
          <w:szCs w:val="12"/>
          <w:color w:val="00B2E5"/>
        </w:rPr>
      </w:pPr>
    </w:p>
    <w:p>
      <w:pPr>
        <w:ind w:left="147" w:hanging="147"/>
        <w:spacing w:after="0"/>
        <w:tabs>
          <w:tab w:leader="none" w:pos="147" w:val="left"/>
        </w:tabs>
        <w:numPr>
          <w:ilvl w:val="0"/>
          <w:numId w:val="9"/>
        </w:numPr>
        <w:rPr>
          <w:rFonts w:ascii="MS PGothic" w:cs="MS PGothic" w:eastAsia="MS PGothic" w:hAnsi="MS PGothic"/>
          <w:sz w:val="12"/>
          <w:szCs w:val="12"/>
          <w:color w:val="00B2E5"/>
        </w:rPr>
      </w:pPr>
      <w:r>
        <w:rPr>
          <w:rFonts w:ascii="Arial" w:cs="Arial" w:eastAsia="Arial" w:hAnsi="Arial"/>
          <w:sz w:val="12"/>
          <w:szCs w:val="12"/>
          <w:b w:val="1"/>
          <w:bCs w:val="1"/>
          <w:i w:val="1"/>
          <w:iCs w:val="1"/>
          <w:color w:val="auto"/>
        </w:rPr>
        <w:t xml:space="preserve">Stockholder Engagement — </w:t>
      </w:r>
      <w:r>
        <w:rPr>
          <w:rFonts w:ascii="Arial" w:cs="Arial" w:eastAsia="Arial" w:hAnsi="Arial"/>
          <w:sz w:val="12"/>
          <w:szCs w:val="12"/>
          <w:color w:val="auto"/>
        </w:rPr>
        <w:t>We engage with stockholders throughout the year, including direct outreach to stockholders that represent the ownership of more than 50% of our stock.</w:t>
      </w:r>
    </w:p>
    <w:p>
      <w:pPr>
        <w:spacing w:after="0" w:line="144" w:lineRule="exact"/>
        <w:rPr>
          <w:rFonts w:ascii="MS PGothic" w:cs="MS PGothic" w:eastAsia="MS PGothic" w:hAnsi="MS PGothic"/>
          <w:sz w:val="12"/>
          <w:szCs w:val="12"/>
          <w:color w:val="00B2E5"/>
        </w:rPr>
      </w:pPr>
    </w:p>
    <w:p>
      <w:pPr>
        <w:ind w:left="147" w:hanging="147"/>
        <w:spacing w:after="0" w:line="274" w:lineRule="auto"/>
        <w:tabs>
          <w:tab w:leader="none" w:pos="147" w:val="left"/>
        </w:tabs>
        <w:numPr>
          <w:ilvl w:val="0"/>
          <w:numId w:val="9"/>
        </w:numPr>
        <w:rPr>
          <w:rFonts w:ascii="MS PGothic" w:cs="MS PGothic" w:eastAsia="MS PGothic" w:hAnsi="MS PGothic"/>
          <w:sz w:val="12"/>
          <w:szCs w:val="12"/>
          <w:color w:val="00B2E5"/>
        </w:rPr>
      </w:pPr>
      <w:r>
        <w:rPr>
          <w:rFonts w:ascii="Arial" w:cs="Arial" w:eastAsia="Arial" w:hAnsi="Arial"/>
          <w:sz w:val="12"/>
          <w:szCs w:val="12"/>
          <w:b w:val="1"/>
          <w:bCs w:val="1"/>
          <w:i w:val="1"/>
          <w:iCs w:val="1"/>
          <w:color w:val="auto"/>
        </w:rPr>
        <w:t xml:space="preserve">Stock Ownership Guidelines — </w:t>
      </w:r>
      <w:r>
        <w:rPr>
          <w:rFonts w:ascii="Arial" w:cs="Arial" w:eastAsia="Arial" w:hAnsi="Arial"/>
          <w:sz w:val="12"/>
          <w:szCs w:val="12"/>
          <w:color w:val="auto"/>
        </w:rPr>
        <w:t>We have stock ownership guidelines that require NEOs to maintain a significant equity stake in the Company. The CEO ownership guideline is six times base salary and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guideline for other NEOs is three times base salary.</w:t>
      </w:r>
    </w:p>
    <w:p>
      <w:pPr>
        <w:spacing w:after="0" w:line="104" w:lineRule="exact"/>
        <w:rPr>
          <w:rFonts w:ascii="MS PGothic" w:cs="MS PGothic" w:eastAsia="MS PGothic" w:hAnsi="MS PGothic"/>
          <w:sz w:val="12"/>
          <w:szCs w:val="12"/>
          <w:color w:val="00B2E5"/>
        </w:rPr>
      </w:pPr>
    </w:p>
    <w:p>
      <w:pPr>
        <w:ind w:left="147" w:hanging="147"/>
        <w:spacing w:after="0"/>
        <w:tabs>
          <w:tab w:leader="none" w:pos="147" w:val="left"/>
        </w:tabs>
        <w:numPr>
          <w:ilvl w:val="0"/>
          <w:numId w:val="9"/>
        </w:numPr>
        <w:rPr>
          <w:rFonts w:ascii="MS PGothic" w:cs="MS PGothic" w:eastAsia="MS PGothic" w:hAnsi="MS PGothic"/>
          <w:sz w:val="12"/>
          <w:szCs w:val="12"/>
          <w:color w:val="00B2E5"/>
        </w:rPr>
      </w:pPr>
      <w:r>
        <w:rPr>
          <w:rFonts w:ascii="Arial" w:cs="Arial" w:eastAsia="Arial" w:hAnsi="Arial"/>
          <w:sz w:val="12"/>
          <w:szCs w:val="12"/>
          <w:b w:val="1"/>
          <w:bCs w:val="1"/>
          <w:i w:val="1"/>
          <w:iCs w:val="1"/>
          <w:color w:val="auto"/>
        </w:rPr>
        <w:t xml:space="preserve">Independent Consultant — </w:t>
      </w:r>
      <w:r>
        <w:rPr>
          <w:rFonts w:ascii="Arial" w:cs="Arial" w:eastAsia="Arial" w:hAnsi="Arial"/>
          <w:sz w:val="12"/>
          <w:szCs w:val="12"/>
          <w:color w:val="auto"/>
        </w:rPr>
        <w:t>We utilize the services of an independent compensation consultant who does not provide any other services to the Company.</w:t>
      </w:r>
    </w:p>
    <w:p>
      <w:pPr>
        <w:spacing w:after="0" w:line="144" w:lineRule="exact"/>
        <w:rPr>
          <w:rFonts w:ascii="MS PGothic" w:cs="MS PGothic" w:eastAsia="MS PGothic" w:hAnsi="MS PGothic"/>
          <w:sz w:val="12"/>
          <w:szCs w:val="12"/>
          <w:color w:val="00B2E5"/>
        </w:rPr>
      </w:pPr>
    </w:p>
    <w:p>
      <w:pPr>
        <w:jc w:val="both"/>
        <w:ind w:left="147" w:hanging="147"/>
        <w:spacing w:after="0" w:line="256" w:lineRule="auto"/>
        <w:tabs>
          <w:tab w:leader="none" w:pos="147" w:val="left"/>
        </w:tabs>
        <w:numPr>
          <w:ilvl w:val="0"/>
          <w:numId w:val="9"/>
        </w:numPr>
        <w:rPr>
          <w:rFonts w:ascii="MS PGothic" w:cs="MS PGothic" w:eastAsia="MS PGothic" w:hAnsi="MS PGothic"/>
          <w:sz w:val="12"/>
          <w:szCs w:val="12"/>
          <w:color w:val="00B2E5"/>
        </w:rPr>
      </w:pPr>
      <w:r>
        <w:rPr>
          <w:rFonts w:ascii="Arial" w:cs="Arial" w:eastAsia="Arial" w:hAnsi="Arial"/>
          <w:sz w:val="12"/>
          <w:szCs w:val="12"/>
          <w:b w:val="1"/>
          <w:bCs w:val="1"/>
          <w:i w:val="1"/>
          <w:iCs w:val="1"/>
          <w:color w:val="auto"/>
        </w:rPr>
        <w:t xml:space="preserve">Clawback Policy — </w:t>
      </w:r>
      <w:r>
        <w:rPr>
          <w:rFonts w:ascii="Arial" w:cs="Arial" w:eastAsia="Arial" w:hAnsi="Arial"/>
          <w:sz w:val="12"/>
          <w:szCs w:val="12"/>
          <w:color w:val="auto"/>
        </w:rPr>
        <w:t>We maintain a clawback policy that allows us to recoup a portion of the short-term cash and long-term equity incentive-based compensation awards paid to current and former officers who 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subject to reporting under Section 16 of the Exchange Act (referred to below as Section 16 officers) during the three fiscal years before an accounting restatement due to material noncompliance with any financial reporting requirement under the securities laws.</w:t>
      </w:r>
    </w:p>
    <w:p>
      <w:pPr>
        <w:spacing w:after="0" w:line="114" w:lineRule="exact"/>
        <w:rPr>
          <w:rFonts w:ascii="MS PGothic" w:cs="MS PGothic" w:eastAsia="MS PGothic" w:hAnsi="MS PGothic"/>
          <w:sz w:val="12"/>
          <w:szCs w:val="12"/>
          <w:color w:val="00B2E5"/>
        </w:rPr>
      </w:pPr>
    </w:p>
    <w:p>
      <w:pPr>
        <w:ind w:left="147" w:hanging="147"/>
        <w:spacing w:after="0"/>
        <w:tabs>
          <w:tab w:leader="none" w:pos="147" w:val="left"/>
        </w:tabs>
        <w:numPr>
          <w:ilvl w:val="0"/>
          <w:numId w:val="9"/>
        </w:numPr>
        <w:rPr>
          <w:rFonts w:ascii="MS PGothic" w:cs="MS PGothic" w:eastAsia="MS PGothic" w:hAnsi="MS PGothic"/>
          <w:sz w:val="12"/>
          <w:szCs w:val="12"/>
          <w:color w:val="00B2E5"/>
        </w:rPr>
      </w:pPr>
      <w:r>
        <w:rPr>
          <w:rFonts w:ascii="Arial" w:cs="Arial" w:eastAsia="Arial" w:hAnsi="Arial"/>
          <w:sz w:val="12"/>
          <w:szCs w:val="12"/>
          <w:b w:val="1"/>
          <w:bCs w:val="1"/>
          <w:i w:val="1"/>
          <w:iCs w:val="1"/>
          <w:color w:val="auto"/>
        </w:rPr>
        <w:t xml:space="preserve">Risk Assessment — </w:t>
      </w:r>
      <w:r>
        <w:rPr>
          <w:rFonts w:ascii="Arial" w:cs="Arial" w:eastAsia="Arial" w:hAnsi="Arial"/>
          <w:sz w:val="12"/>
          <w:szCs w:val="12"/>
          <w:color w:val="auto"/>
        </w:rPr>
        <w:t>Our compensation consultant performs an independent risk assessment of compensation programs.</w:t>
      </w:r>
    </w:p>
    <w:p>
      <w:pPr>
        <w:spacing w:after="0" w:line="144" w:lineRule="exact"/>
        <w:rPr>
          <w:rFonts w:ascii="MS PGothic" w:cs="MS PGothic" w:eastAsia="MS PGothic" w:hAnsi="MS PGothic"/>
          <w:sz w:val="12"/>
          <w:szCs w:val="12"/>
          <w:color w:val="00B2E5"/>
        </w:rPr>
      </w:pPr>
    </w:p>
    <w:p>
      <w:pPr>
        <w:ind w:left="147" w:hanging="147"/>
        <w:spacing w:after="0"/>
        <w:tabs>
          <w:tab w:leader="none" w:pos="147" w:val="left"/>
        </w:tabs>
        <w:numPr>
          <w:ilvl w:val="0"/>
          <w:numId w:val="9"/>
        </w:numPr>
        <w:rPr>
          <w:rFonts w:ascii="MS PGothic" w:cs="MS PGothic" w:eastAsia="MS PGothic" w:hAnsi="MS PGothic"/>
          <w:sz w:val="12"/>
          <w:szCs w:val="12"/>
          <w:color w:val="00B2E5"/>
        </w:rPr>
      </w:pPr>
      <w:r>
        <w:rPr>
          <w:rFonts w:ascii="Arial" w:cs="Arial" w:eastAsia="Arial" w:hAnsi="Arial"/>
          <w:sz w:val="12"/>
          <w:szCs w:val="12"/>
          <w:b w:val="1"/>
          <w:bCs w:val="1"/>
          <w:i w:val="1"/>
          <w:iCs w:val="1"/>
          <w:color w:val="auto"/>
        </w:rPr>
        <w:t xml:space="preserve">Competitive Analysis — </w:t>
      </w:r>
      <w:r>
        <w:rPr>
          <w:rFonts w:ascii="Arial" w:cs="Arial" w:eastAsia="Arial" w:hAnsi="Arial"/>
          <w:sz w:val="12"/>
          <w:szCs w:val="12"/>
          <w:color w:val="auto"/>
        </w:rPr>
        <w:t>We annually seek to understand labor market trends pertaining to the amount and form of executive pay delivery through comprehensive competitive analyses.</w:t>
      </w:r>
    </w:p>
    <w:p>
      <w:pPr>
        <w:spacing w:after="0" w:line="144" w:lineRule="exact"/>
        <w:rPr>
          <w:rFonts w:ascii="MS PGothic" w:cs="MS PGothic" w:eastAsia="MS PGothic" w:hAnsi="MS PGothic"/>
          <w:sz w:val="12"/>
          <w:szCs w:val="12"/>
          <w:color w:val="00B2E5"/>
        </w:rPr>
      </w:pPr>
    </w:p>
    <w:p>
      <w:pPr>
        <w:ind w:left="147" w:hanging="147"/>
        <w:spacing w:after="0"/>
        <w:tabs>
          <w:tab w:leader="none" w:pos="147" w:val="left"/>
        </w:tabs>
        <w:numPr>
          <w:ilvl w:val="0"/>
          <w:numId w:val="9"/>
        </w:numPr>
        <w:rPr>
          <w:rFonts w:ascii="MS PGothic" w:cs="MS PGothic" w:eastAsia="MS PGothic" w:hAnsi="MS PGothic"/>
          <w:sz w:val="12"/>
          <w:szCs w:val="12"/>
          <w:color w:val="00B2E5"/>
        </w:rPr>
      </w:pPr>
      <w:r>
        <w:rPr>
          <w:rFonts w:ascii="Arial" w:cs="Arial" w:eastAsia="Arial" w:hAnsi="Arial"/>
          <w:sz w:val="12"/>
          <w:szCs w:val="12"/>
          <w:b w:val="1"/>
          <w:bCs w:val="1"/>
          <w:i w:val="1"/>
          <w:iCs w:val="1"/>
          <w:color w:val="auto"/>
        </w:rPr>
        <w:t xml:space="preserve">Annual Say-on-Pay Vote — </w:t>
      </w:r>
      <w:r>
        <w:rPr>
          <w:rFonts w:ascii="Arial" w:cs="Arial" w:eastAsia="Arial" w:hAnsi="Arial"/>
          <w:sz w:val="12"/>
          <w:szCs w:val="12"/>
          <w:color w:val="auto"/>
        </w:rPr>
        <w:t>We have a policy to hold an advisory vote to approve the Company's executive compensation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-1775460</wp:posOffset>
            </wp:positionV>
            <wp:extent cx="717677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-1508760</wp:posOffset>
            </wp:positionV>
            <wp:extent cx="717677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-1329690</wp:posOffset>
            </wp:positionV>
            <wp:extent cx="717677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-1063625</wp:posOffset>
            </wp:positionV>
            <wp:extent cx="717677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-883920</wp:posOffset>
            </wp:positionV>
            <wp:extent cx="717677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-530860</wp:posOffset>
            </wp:positionV>
            <wp:extent cx="717677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-351790</wp:posOffset>
            </wp:positionV>
            <wp:extent cx="717677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-172085</wp:posOffset>
            </wp:positionV>
            <wp:extent cx="717677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wp:posOffset>
            </wp:positionV>
            <wp:extent cx="717677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pacing w:after="0" w:line="259"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677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272" w:lineRule="exact"/>
        <w:rPr>
          <w:sz w:val="20"/>
          <w:szCs w:val="20"/>
          <w:color w:val="auto"/>
        </w:rPr>
      </w:pPr>
    </w:p>
    <w:p>
      <w:pPr>
        <w:ind w:left="147" w:hanging="147"/>
        <w:spacing w:after="0"/>
        <w:tabs>
          <w:tab w:leader="none" w:pos="147" w:val="left"/>
        </w:tabs>
        <w:numPr>
          <w:ilvl w:val="0"/>
          <w:numId w:val="10"/>
        </w:numPr>
        <w:rPr>
          <w:rFonts w:ascii="MS PGothic" w:cs="MS PGothic" w:eastAsia="MS PGothic" w:hAnsi="MS PGothic"/>
          <w:sz w:val="12"/>
          <w:szCs w:val="12"/>
          <w:color w:val="00B2E5"/>
        </w:rPr>
      </w:pPr>
      <w:r>
        <w:rPr>
          <w:rFonts w:ascii="Arial" w:cs="Arial" w:eastAsia="Arial" w:hAnsi="Arial"/>
          <w:sz w:val="12"/>
          <w:szCs w:val="12"/>
          <w:b w:val="1"/>
          <w:bCs w:val="1"/>
          <w:i w:val="1"/>
          <w:iCs w:val="1"/>
          <w:color w:val="auto"/>
        </w:rPr>
        <w:t xml:space="preserve">Stock Option Repricing — </w:t>
      </w:r>
      <w:r>
        <w:rPr>
          <w:rFonts w:ascii="Arial" w:cs="Arial" w:eastAsia="Arial" w:hAnsi="Arial"/>
          <w:sz w:val="12"/>
          <w:szCs w:val="12"/>
          <w:color w:val="auto"/>
        </w:rPr>
        <w:t>Our stock plan prohibits re-pricing underwater stock options or stock appreciation rights without stockholder approval.</w:t>
      </w:r>
    </w:p>
    <w:p>
      <w:pPr>
        <w:spacing w:after="0" w:line="144" w:lineRule="exact"/>
        <w:rPr>
          <w:rFonts w:ascii="MS PGothic" w:cs="MS PGothic" w:eastAsia="MS PGothic" w:hAnsi="MS PGothic"/>
          <w:sz w:val="12"/>
          <w:szCs w:val="12"/>
          <w:color w:val="00B2E5"/>
        </w:rPr>
      </w:pPr>
    </w:p>
    <w:p>
      <w:pPr>
        <w:ind w:left="147" w:hanging="147"/>
        <w:spacing w:after="0" w:line="274" w:lineRule="auto"/>
        <w:tabs>
          <w:tab w:leader="none" w:pos="147" w:val="left"/>
        </w:tabs>
        <w:numPr>
          <w:ilvl w:val="0"/>
          <w:numId w:val="10"/>
        </w:numPr>
        <w:rPr>
          <w:rFonts w:ascii="MS PGothic" w:cs="MS PGothic" w:eastAsia="MS PGothic" w:hAnsi="MS PGothic"/>
          <w:sz w:val="12"/>
          <w:szCs w:val="12"/>
          <w:color w:val="00B2E5"/>
        </w:rPr>
      </w:pPr>
      <w:r>
        <w:rPr>
          <w:rFonts w:ascii="Arial" w:cs="Arial" w:eastAsia="Arial" w:hAnsi="Arial"/>
          <w:sz w:val="12"/>
          <w:szCs w:val="12"/>
          <w:b w:val="1"/>
          <w:bCs w:val="1"/>
          <w:i w:val="1"/>
          <w:iCs w:val="1"/>
          <w:color w:val="auto"/>
        </w:rPr>
        <w:t xml:space="preserve">Single Trigger Equity Acceleration — </w:t>
      </w:r>
      <w:r>
        <w:rPr>
          <w:rFonts w:ascii="Arial" w:cs="Arial" w:eastAsia="Arial" w:hAnsi="Arial"/>
          <w:sz w:val="12"/>
          <w:szCs w:val="12"/>
          <w:color w:val="auto"/>
        </w:rPr>
        <w:t>We do not maintain plans or agreements that provide for automatic "single-trigger" equity acceleration or bonus payments in connection with a change in control (rather, any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payment of benefit requires a qualifying termination of employment in connection with a change in control known as "double trigger").</w:t>
      </w:r>
    </w:p>
    <w:p>
      <w:pPr>
        <w:spacing w:after="0" w:line="104" w:lineRule="exact"/>
        <w:rPr>
          <w:rFonts w:ascii="MS PGothic" w:cs="MS PGothic" w:eastAsia="MS PGothic" w:hAnsi="MS PGothic"/>
          <w:sz w:val="12"/>
          <w:szCs w:val="12"/>
          <w:color w:val="00B2E5"/>
        </w:rPr>
      </w:pPr>
    </w:p>
    <w:p>
      <w:pPr>
        <w:ind w:left="147" w:hanging="147"/>
        <w:spacing w:after="0"/>
        <w:tabs>
          <w:tab w:leader="none" w:pos="147" w:val="left"/>
        </w:tabs>
        <w:numPr>
          <w:ilvl w:val="0"/>
          <w:numId w:val="10"/>
        </w:numPr>
        <w:rPr>
          <w:rFonts w:ascii="MS PGothic" w:cs="MS PGothic" w:eastAsia="MS PGothic" w:hAnsi="MS PGothic"/>
          <w:sz w:val="12"/>
          <w:szCs w:val="12"/>
          <w:color w:val="00B2E5"/>
        </w:rPr>
      </w:pPr>
      <w:r>
        <w:rPr>
          <w:rFonts w:ascii="Arial" w:cs="Arial" w:eastAsia="Arial" w:hAnsi="Arial"/>
          <w:sz w:val="12"/>
          <w:szCs w:val="12"/>
          <w:b w:val="1"/>
          <w:bCs w:val="1"/>
          <w:i w:val="1"/>
          <w:iCs w:val="1"/>
          <w:color w:val="auto"/>
        </w:rPr>
        <w:t xml:space="preserve">Tax Gross-Ups — </w:t>
      </w:r>
      <w:r>
        <w:rPr>
          <w:rFonts w:ascii="Arial" w:cs="Arial" w:eastAsia="Arial" w:hAnsi="Arial"/>
          <w:sz w:val="12"/>
          <w:szCs w:val="12"/>
          <w:color w:val="auto"/>
        </w:rPr>
        <w:t>We do not provide tax gross-ups to NEOs on change in control payments.</w:t>
      </w:r>
    </w:p>
    <w:p>
      <w:pPr>
        <w:spacing w:after="0" w:line="144" w:lineRule="exact"/>
        <w:rPr>
          <w:rFonts w:ascii="MS PGothic" w:cs="MS PGothic" w:eastAsia="MS PGothic" w:hAnsi="MS PGothic"/>
          <w:sz w:val="12"/>
          <w:szCs w:val="12"/>
          <w:color w:val="00B2E5"/>
        </w:rPr>
      </w:pPr>
    </w:p>
    <w:p>
      <w:pPr>
        <w:ind w:left="147" w:hanging="147"/>
        <w:spacing w:after="0" w:line="274" w:lineRule="auto"/>
        <w:tabs>
          <w:tab w:leader="none" w:pos="147" w:val="left"/>
        </w:tabs>
        <w:numPr>
          <w:ilvl w:val="0"/>
          <w:numId w:val="10"/>
        </w:numPr>
        <w:rPr>
          <w:rFonts w:ascii="MS PGothic" w:cs="MS PGothic" w:eastAsia="MS PGothic" w:hAnsi="MS PGothic"/>
          <w:sz w:val="12"/>
          <w:szCs w:val="12"/>
          <w:color w:val="00B2E5"/>
        </w:rPr>
      </w:pPr>
      <w:r>
        <w:rPr>
          <w:rFonts w:ascii="Arial" w:cs="Arial" w:eastAsia="Arial" w:hAnsi="Arial"/>
          <w:sz w:val="12"/>
          <w:szCs w:val="12"/>
          <w:b w:val="1"/>
          <w:bCs w:val="1"/>
          <w:i w:val="1"/>
          <w:iCs w:val="1"/>
          <w:color w:val="auto"/>
        </w:rPr>
        <w:t xml:space="preserve">Hedging and Pledging — </w:t>
      </w:r>
      <w:r>
        <w:rPr>
          <w:rFonts w:ascii="Arial" w:cs="Arial" w:eastAsia="Arial" w:hAnsi="Arial"/>
          <w:sz w:val="12"/>
          <w:szCs w:val="12"/>
          <w:color w:val="auto"/>
        </w:rPr>
        <w:t>We prohibit hedging transactions involving AECOM common stock and do not allow trading in puts, calls, options or other similar transactions. In addition, we prohibit the pledging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AECOM common stock except in certain limited circumstances subject to Company approval and demonstration of the ability to repay the applicable loan without selling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-730250</wp:posOffset>
            </wp:positionV>
            <wp:extent cx="717677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-464185</wp:posOffset>
            </wp:positionV>
            <wp:extent cx="717677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-284480</wp:posOffset>
            </wp:positionV>
            <wp:extent cx="717677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pacing w:after="0" w:line="8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8375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Environmental, Social and Governance Matters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are committed to being a leader in environmental sustainability, social responsibility, and corporate governance.</w:t>
      </w:r>
    </w:p>
    <w:p>
      <w:pPr>
        <w:spacing w:after="0" w:line="145"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We embrace sustainability by striving to make a positive, lasting impact on society and the environment. Sustainability and resilience in the world's built and natural environments are at the core of what we do and how we operate — focusing on the environmental, social and governance impacts of our business. Through our projects and our operations, we have both a significant opportunity and a responsibility to protect, enhance and restore the world's natural and social systems.</w:t>
      </w:r>
    </w:p>
    <w:p>
      <w:pPr>
        <w:spacing w:after="0" w:line="114" w:lineRule="exact"/>
        <w:rPr>
          <w:sz w:val="20"/>
          <w:szCs w:val="20"/>
          <w:color w:val="auto"/>
        </w:rPr>
      </w:pPr>
    </w:p>
    <w:p>
      <w:pPr>
        <w:jc w:val="both"/>
        <w:ind w:right="5880"/>
        <w:spacing w:after="0" w:line="268" w:lineRule="auto"/>
        <w:rPr>
          <w:sz w:val="20"/>
          <w:szCs w:val="20"/>
          <w:color w:val="auto"/>
        </w:rPr>
      </w:pPr>
      <w:r>
        <w:rPr>
          <w:rFonts w:ascii="Arial" w:cs="Arial" w:eastAsia="Arial" w:hAnsi="Arial"/>
          <w:sz w:val="11"/>
          <w:szCs w:val="11"/>
          <w:color w:val="auto"/>
        </w:rPr>
        <w:t>We are committed to addressing the effects of climate change as a key priority for our sustainability program by improving resilience and working to advance ambitious greenhouse gas emissions reduction targets. Having achieved our previous emissions reduction targets ahead of schedule, we have set new science-based targets for 2025 that are in alignment with the Paris Agreement's goals to limit the worst effects of climate change: a 20% reduction in Scope 1 and 2 emissions and a 10% reduction in supply chain emissions from our 2018 baseline. Our new targets have been independently validated by the Science Based Targets initiative (SBTi) and, at the time of validation, AECOM was the first and only US-based company in the engineering and construction sector to have set SBTi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-709295</wp:posOffset>
            </wp:positionV>
            <wp:extent cx="1724660" cy="9721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24660" cy="97218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16" w:lineRule="auto"/>
        <w:rPr>
          <w:sz w:val="20"/>
          <w:szCs w:val="20"/>
          <w:color w:val="auto"/>
        </w:rPr>
      </w:pPr>
      <w:r>
        <w:rPr>
          <w:rFonts w:ascii="Arial" w:cs="Arial" w:eastAsia="Arial" w:hAnsi="Arial"/>
          <w:sz w:val="12"/>
          <w:szCs w:val="12"/>
          <w:color w:val="auto"/>
        </w:rPr>
        <w:t>In addition, we continue to invest in proprietary innovations and solutions to combat globally pervasive emerging contaminants, such as our patented DE-FLUORO</w:t>
      </w:r>
      <w:r>
        <w:rPr>
          <w:rFonts w:ascii="Arial" w:cs="Arial" w:eastAsia="Arial" w:hAnsi="Arial"/>
          <w:sz w:val="19"/>
          <w:szCs w:val="19"/>
          <w:color w:val="auto"/>
          <w:vertAlign w:val="superscript"/>
        </w:rPr>
        <w:t>TM</w:t>
      </w:r>
      <w:r>
        <w:rPr>
          <w:rFonts w:ascii="Arial" w:cs="Arial" w:eastAsia="Arial" w:hAnsi="Arial"/>
          <w:sz w:val="12"/>
          <w:szCs w:val="12"/>
          <w:color w:val="auto"/>
        </w:rPr>
        <w:t xml:space="preserve"> water treatment solution to destroy per- and polyfluoroalkyl substances (PFAS) on-site.</w:t>
      </w:r>
    </w:p>
    <w:p>
      <w:pPr>
        <w:spacing w:after="0" w:line="124"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We have established an internal Global ESG Council to coordinate and drive our ESG initiatives across AECOM worldwide. The Council's functions include: (i) assessing the impact of the Company's services and operations and advising on how the Company may enhance its ESG performance; (ii) advising on appropriate global ESG goals, commitments and targets; (iii) shaping the Company's ESG messaging and disclosure; and (iv) assessing the potential impact of climate change on the Company's services and operations and providing a global forum to share ideas on how the Company's unique offerings and solutions can enable mitigation, adaptation and resilience to climate change that will develop and support buildings, infrastructure assets and communities; and (v) providing a framework for evaluating client opportunities to ensure that they align with our ESG goals. The Council is composed of employees with relevant professional expertise and experience including strategic and end market leadership; consulting expertise; operations; procurement, real estate and facilities management and other corporate functions. Our Board, including through its Safety, Risk and Sustainability Committee, has oversight over ESG matters. Additional information regarding our ESG initiatives is located on the investor relations section of our website, at https://investors.aecom.com/esg.</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Commitment to Our People (Human Capital Management)</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have made key advances in the past year in our transformation into a professional services firm and continue to set new standards for excellence in our industry. The foundation of our continuing success as a premier professional services enterprise is the ability to attract and retain the industry's best, diverse talent by providing a culture of equity, diversity, inclusion, development, opportunity and empowerment. This understanding informs our approach to supporting our people.</w:t>
      </w:r>
    </w:p>
    <w:p>
      <w:pPr>
        <w:spacing w:after="0" w:line="114" w:lineRule="exact"/>
        <w:rPr>
          <w:sz w:val="20"/>
          <w:szCs w:val="20"/>
          <w:color w:val="auto"/>
        </w:rPr>
      </w:pPr>
    </w:p>
    <w:p>
      <w:pPr>
        <w:jc w:val="center"/>
        <w:ind w:right="80"/>
        <w:spacing w:after="0"/>
        <w:rPr>
          <w:sz w:val="20"/>
          <w:szCs w:val="20"/>
          <w:color w:val="auto"/>
        </w:rPr>
      </w:pPr>
      <w:r>
        <w:rPr>
          <w:rFonts w:ascii="Arial" w:cs="Arial" w:eastAsia="Arial" w:hAnsi="Arial"/>
          <w:sz w:val="11"/>
          <w:szCs w:val="11"/>
          <w:color w:val="auto"/>
        </w:rPr>
        <w:t>Our principal asset is our employees, and large percentages of our employees have technical and professional backgrounds and undergraduate and/or advanced degrees. At the end of our fiscal 2020, we employed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0" w:name="page31"/>
    <w:bookmarkEnd w:id="30"/>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approximately 54,000 persons including engineers, architects, environmental scientists, project managers and other project professionals. We believe that the quality and level of service that our professionals deliver are among the highest in our industry.</w:t>
      </w:r>
    </w:p>
    <w:p>
      <w:pPr>
        <w:spacing w:after="0" w:line="104"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We are committed to enhancing our position as a leading employer in our industry. Our culture and reputation as a leader in the engineering and construction sector enables us to recruit and retain some of the best available talent in the countries we operate in. We believe in a culture of equity, diversity and inclusion, and we are committed to advancing safe and respectful work environments where our employees are invited to bring their talents, backgrounds and expertise to bear on some of the world's most complex problems and where every person has the opportunity to thrive personally and professionally.</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are committed to engaging our employees globally to understand regional inclusion and diversity opportunities, building leadership accountability and expanding recruitment efforts to foster a workforce reflective of our communities. To continue attracting and retaining some of the most talented employees in our industry, we ensure employees have the tools and resources they need to hone their skills, develop strong leadership behaviors and advance their careers. Our human capital objectives and initiatives are overseen by our Board as per our Corporate Governance Guidelines.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auto"/>
        </w:rPr>
        <w:t xml:space="preserve">Health and Safety. </w:t>
      </w:r>
      <w:r>
        <w:rPr>
          <w:rFonts w:ascii="Arial" w:cs="Arial" w:eastAsia="Arial" w:hAnsi="Arial"/>
          <w:sz w:val="12"/>
          <w:szCs w:val="12"/>
          <w:color w:val="auto"/>
        </w:rPr>
        <w:t>Core to our corporate values is safeguarding our people and fostering a culture of caring that promotes the wellbeing of our employees, contractors and business partners. We safeguard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people, projects and reputation by striving for zero employee injuries and illnesses, while operating and delivering our work responsibly and sustainably. We maintain our industry's best-in-class lost workday case and recordable incident rates, and our safety performance is consistently recognized by key clients across the regions where we work as well as by recognized safety organizations.</w:t>
      </w:r>
    </w:p>
    <w:p>
      <w:pPr>
        <w:spacing w:after="0" w:line="114" w:lineRule="exact"/>
        <w:rPr>
          <w:sz w:val="20"/>
          <w:szCs w:val="20"/>
          <w:color w:val="auto"/>
        </w:rPr>
      </w:pPr>
    </w:p>
    <w:p>
      <w:pPr>
        <w:ind w:left="1540"/>
        <w:spacing w:after="0"/>
        <w:rPr>
          <w:sz w:val="20"/>
          <w:szCs w:val="20"/>
          <w:color w:val="auto"/>
        </w:rPr>
      </w:pPr>
      <w:r>
        <w:rPr>
          <w:rFonts w:ascii="Arial" w:cs="Arial" w:eastAsia="Arial" w:hAnsi="Arial"/>
          <w:sz w:val="12"/>
          <w:szCs w:val="12"/>
          <w:color w:val="auto"/>
        </w:rPr>
        <w:t>From the United States National Safety Council (NSC) alone, AECOM received 157 awards,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1835" cy="7118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835" cy="711835"/>
                    </a:xfrm>
                    <a:prstGeom prst="rect">
                      <a:avLst/>
                    </a:prstGeom>
                    <a:noFill/>
                  </pic:spPr>
                </pic:pic>
              </a:graphicData>
            </a:graphic>
          </wp:anchor>
        </w:drawing>
      </w:r>
    </w:p>
    <w:p>
      <w:pPr>
        <w:spacing w:after="0" w:line="115" w:lineRule="exact"/>
        <w:rPr>
          <w:sz w:val="20"/>
          <w:szCs w:val="20"/>
          <w:color w:val="auto"/>
        </w:rPr>
      </w:pPr>
    </w:p>
    <w:p>
      <w:pPr>
        <w:ind w:left="1760" w:hanging="227"/>
        <w:spacing w:after="0"/>
        <w:tabs>
          <w:tab w:leader="none" w:pos="17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Perfect Record Awards (155): Achieved a minimum of 12 consecutive months without a recordable injury or illness.</w:t>
      </w:r>
    </w:p>
    <w:p>
      <w:pPr>
        <w:spacing w:after="0" w:line="135" w:lineRule="exact"/>
        <w:rPr>
          <w:rFonts w:ascii="Arial" w:cs="Arial" w:eastAsia="Arial" w:hAnsi="Arial"/>
          <w:sz w:val="12"/>
          <w:szCs w:val="12"/>
          <w:color w:val="auto"/>
        </w:rPr>
      </w:pPr>
    </w:p>
    <w:p>
      <w:pPr>
        <w:ind w:left="1540" w:right="780" w:hanging="7"/>
        <w:spacing w:after="0" w:line="598" w:lineRule="auto"/>
        <w:tabs>
          <w:tab w:leader="none" w:pos="1759" w:val="left"/>
        </w:tabs>
        <w:numPr>
          <w:ilvl w:val="0"/>
          <w:numId w:val="11"/>
        </w:numPr>
        <w:rPr>
          <w:rFonts w:ascii="Arial" w:cs="Arial" w:eastAsia="Arial" w:hAnsi="Arial"/>
          <w:sz w:val="11"/>
          <w:szCs w:val="11"/>
          <w:color w:val="auto"/>
        </w:rPr>
      </w:pPr>
      <w:r>
        <w:rPr>
          <w:rFonts w:ascii="Arial" w:cs="Arial" w:eastAsia="Arial" w:hAnsi="Arial"/>
          <w:sz w:val="11"/>
          <w:szCs w:val="11"/>
          <w:color w:val="auto"/>
        </w:rPr>
        <w:t>Million Work Hour Awards (2): Achieved a minimum of one million consecutive hours without an injury or illness that resulted in days away from work and zero fatalities. In addition, hundreds of AECOM supervisors earned Safety Qualified Supervisor status, demonstrating commitment to our values and outstanding leadership abilities.</w:t>
      </w:r>
    </w:p>
    <w:p>
      <w:pPr>
        <w:spacing w:after="0" w:line="90" w:lineRule="exact"/>
        <w:rPr>
          <w:sz w:val="20"/>
          <w:szCs w:val="20"/>
          <w:color w:val="auto"/>
        </w:rPr>
      </w:pPr>
    </w:p>
    <w:p>
      <w:pPr>
        <w:jc w:val="both"/>
        <w:spacing w:after="0" w:line="250" w:lineRule="auto"/>
        <w:rPr>
          <w:sz w:val="20"/>
          <w:szCs w:val="20"/>
          <w:color w:val="auto"/>
        </w:rPr>
      </w:pPr>
      <w:r>
        <w:rPr>
          <w:rFonts w:ascii="Arial" w:cs="Arial" w:eastAsia="Arial" w:hAnsi="Arial"/>
          <w:sz w:val="12"/>
          <w:szCs w:val="12"/>
          <w:b w:val="1"/>
          <w:bCs w:val="1"/>
          <w:i w:val="1"/>
          <w:iCs w:val="1"/>
          <w:color w:val="auto"/>
        </w:rPr>
        <w:t xml:space="preserve">Equity, diversity and inclusion. </w:t>
      </w:r>
      <w:r>
        <w:rPr>
          <w:rFonts w:ascii="Arial" w:cs="Arial" w:eastAsia="Arial" w:hAnsi="Arial"/>
          <w:sz w:val="12"/>
          <w:szCs w:val="12"/>
          <w:color w:val="auto"/>
        </w:rPr>
        <w:t>While ED&amp;I has always been a part of our culture, we continue to advance efforts globally to integrate our principles into all aspects of our work and measure results. We 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focused on four key areas: 1) Building diverse talent through our recruitment efforts, as well as offering internships (including virtual internships during the Covid-19 pandemic) and partnering with nonprofit organizations and universities, 2) Enriching communities through pro-bono work, volunteerism, philanthropy and strategic partnerships, 3) Expanding understanding and empathy among employees through community-building, training and family-friendly benefit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1" w:name="page32"/>
    <w:bookmarkEnd w:id="31"/>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policies, and 4) Prioritizing the social impact and benefits of ED&amp;I into every project we pursue and the innovative solutions we deliver.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1610360</wp:posOffset>
            </wp:positionH>
            <wp:positionV relativeFrom="paragraph">
              <wp:posOffset>99060</wp:posOffset>
            </wp:positionV>
            <wp:extent cx="3947160" cy="1771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947160" cy="177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auto"/>
        </w:rPr>
        <w:t xml:space="preserve">Employee experience. </w:t>
      </w:r>
      <w:r>
        <w:rPr>
          <w:rFonts w:ascii="Arial" w:cs="Arial" w:eastAsia="Arial" w:hAnsi="Arial"/>
          <w:sz w:val="12"/>
          <w:szCs w:val="12"/>
          <w:color w:val="auto"/>
        </w:rPr>
        <w:t>We continue to enhance our employee programs, workplace culture and digital technologies to support employees and managers in more effective and efficient ways to execute their work</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meaningfully engage with clients. These efforts include employee wellness and wellbeing programs to better support employees while working remotely during the Covid-19 pandemic and beyond, expanding access and technical training programs through our online education portal, AECOM University, delivering new digital tools to boost connectivity among employees, and advancing frontline leadership programs.</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2"/>
          <w:szCs w:val="12"/>
          <w:b w:val="1"/>
          <w:bCs w:val="1"/>
          <w:i w:val="1"/>
          <w:iCs w:val="1"/>
          <w:color w:val="auto"/>
        </w:rPr>
        <w:t xml:space="preserve">Workplace of the Future Initiative. </w:t>
      </w:r>
      <w:r>
        <w:rPr>
          <w:rFonts w:ascii="Arial" w:cs="Arial" w:eastAsia="Arial" w:hAnsi="Arial"/>
          <w:sz w:val="12"/>
          <w:szCs w:val="12"/>
          <w:color w:val="auto"/>
        </w:rPr>
        <w:t>Drawing upon the experiences of our professionals, who have remained highly productive while working remotely during the Covid-19 pandemic, we have invited their input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ideas to begin to shape the future ways of working at AECOM. In particular, through a global competition, we challenged our professionals to consider how new workspaces can support health, collaboration and camaraderie, how technology and tools can be leveraged to ensure continuing productivity and client engagement, and what they need to be well and engaged. Many of the resulting ideas are being implemented regionally and globally. Our initiatives in this area include a continued drive toward digital delivery of our work product and enhanced client engagement, hybrid work environments, and a repurposed and overall reduced global real estate footprint.</w:t>
      </w:r>
    </w:p>
    <w:p>
      <w:pPr>
        <w:spacing w:after="0" w:line="119" w:lineRule="exact"/>
        <w:rPr>
          <w:sz w:val="20"/>
          <w:szCs w:val="20"/>
          <w:color w:val="auto"/>
        </w:rPr>
      </w:pPr>
    </w:p>
    <w:p>
      <w:pPr>
        <w:jc w:val="both"/>
        <w:spacing w:after="0" w:line="245" w:lineRule="auto"/>
        <w:rPr>
          <w:sz w:val="20"/>
          <w:szCs w:val="20"/>
          <w:color w:val="auto"/>
        </w:rPr>
      </w:pPr>
      <w:r>
        <w:rPr>
          <w:rFonts w:ascii="Arial" w:cs="Arial" w:eastAsia="Arial" w:hAnsi="Arial"/>
          <w:sz w:val="12"/>
          <w:szCs w:val="12"/>
          <w:b w:val="1"/>
          <w:bCs w:val="1"/>
          <w:i w:val="1"/>
          <w:iCs w:val="1"/>
          <w:color w:val="auto"/>
        </w:rPr>
        <w:t xml:space="preserve">Community responsibility. </w:t>
      </w:r>
      <w:r>
        <w:rPr>
          <w:rFonts w:ascii="Arial" w:cs="Arial" w:eastAsia="Arial" w:hAnsi="Arial"/>
          <w:sz w:val="12"/>
          <w:szCs w:val="12"/>
          <w:color w:val="auto"/>
        </w:rPr>
        <w:t>Through strategic nonprofit partnerships, pro-bono work, skills-based volunteering and philanthropy,</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Blueprint for a Better World</w:t>
      </w:r>
      <w:r>
        <w:rPr>
          <w:rFonts w:ascii="Arial" w:cs="Arial" w:eastAsia="Arial" w:hAnsi="Arial"/>
          <w:sz w:val="12"/>
          <w:szCs w:val="12"/>
          <w:color w:val="auto"/>
        </w:rPr>
        <w:t>, our corporate responsibility platform, is focused 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delivering access to safe and secure infrastructure to those who need it most, creating opportunity for the leaders of tomorrow and protecting our planet so that our company can fulfill its purpose to deliver a better world. As part of the Blueprint pro-bono program, our technical experts partnered with nonprofit organizations in their local communities to provide critical design, engineering and infrastructure solutions. In fiscal 2020, we continued to further our employees' passion through the Blueprint Travel Grant program, which included building dormitories to further Peruvian girls' education, purifying drinking water on the Zinga Islands of Uganda, strengthening engineering ecosystems in Sub-Saharan Africa, and designing and fundraising for a women and children's center in Kosovo. In addition, we sustained our commitment to our enterprise strategic nonprofit partners — Engineers Without Borders and Water for People.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81" w:lineRule="exact"/>
        <w:rPr>
          <w:sz w:val="20"/>
          <w:szCs w:val="20"/>
          <w:color w:val="auto"/>
        </w:rPr>
      </w:pPr>
    </w:p>
    <w:p>
      <w:pPr>
        <w:jc w:val="right"/>
        <w:ind w:right="3819"/>
        <w:spacing w:after="0"/>
        <w:rPr>
          <w:sz w:val="20"/>
          <w:szCs w:val="20"/>
          <w:color w:val="auto"/>
        </w:rPr>
      </w:pPr>
      <w:r>
        <w:rPr>
          <w:rFonts w:ascii="Arial" w:cs="Arial" w:eastAsia="Arial" w:hAnsi="Arial"/>
          <w:sz w:val="12"/>
          <w:szCs w:val="12"/>
          <w:i w:val="1"/>
          <w:iCs w:val="1"/>
          <w:color w:val="auto"/>
        </w:rPr>
        <w:t>Blueprint for a Better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99060</wp:posOffset>
            </wp:positionV>
            <wp:extent cx="3495675" cy="9956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95675" cy="995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Workplace Accolades: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99060</wp:posOffset>
            </wp:positionV>
            <wp:extent cx="3947160" cy="13366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47160" cy="1336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159"/>
          </w:cols>
          <w:pgMar w:left="300" w:top="128" w:right="1440" w:bottom="1440" w:gutter="0" w:footer="0" w:header="0"/>
        </w:sectPr>
      </w:pPr>
    </w:p>
    <w:bookmarkStart w:id="33" w:name="page34"/>
    <w:bookmarkEnd w:id="33"/>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63905" cy="173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3905" cy="1733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300 SOUTH GRAND AVENUE, 9TH FLOOR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LOS ANGELES, CALIFORNIA 90071</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PROXY STATEMENT</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ANNUAL MEETING OF STOCKHOLDERS</w:t>
      </w:r>
    </w:p>
    <w:p>
      <w:pPr>
        <w:spacing w:after="0" w:line="237" w:lineRule="auto"/>
        <w:rPr>
          <w:sz w:val="20"/>
          <w:szCs w:val="20"/>
          <w:color w:val="auto"/>
        </w:rPr>
      </w:pPr>
      <w:r>
        <w:rPr>
          <w:rFonts w:ascii="Arial" w:cs="Arial" w:eastAsia="Arial" w:hAnsi="Arial"/>
          <w:sz w:val="12"/>
          <w:szCs w:val="12"/>
          <w:b w:val="1"/>
          <w:bCs w:val="1"/>
          <w:color w:val="00B2E5"/>
        </w:rPr>
        <w:t>TO BE HELD</w:t>
      </w:r>
    </w:p>
    <w:p>
      <w:pPr>
        <w:spacing w:after="0"/>
        <w:rPr>
          <w:sz w:val="20"/>
          <w:szCs w:val="20"/>
          <w:color w:val="auto"/>
        </w:rPr>
      </w:pPr>
      <w:r>
        <w:rPr>
          <w:rFonts w:ascii="Arial" w:cs="Arial" w:eastAsia="Arial" w:hAnsi="Arial"/>
          <w:sz w:val="12"/>
          <w:szCs w:val="12"/>
          <w:b w:val="1"/>
          <w:bCs w:val="1"/>
          <w:color w:val="00B2E5"/>
        </w:rPr>
        <w:t>FEBRUARY 24, 2021</w:t>
      </w:r>
    </w:p>
    <w:p>
      <w:pPr>
        <w:spacing w:after="0" w:line="103"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INTRODUCTION</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This Proxy Statement is furnished in connection with the solicitation of proxies, on behalf of the Board of Directors of AECOM, a Delaware corporation ("we," "our," the "Company" or "AECOM"), for use at our 2021 Annual Meeting of Stockholders ("2021 Annual Meeting") to be held on February 24, 2021, at 8:00 a.m. Pacific Time, or at any adjournment or postponement thereof. At the 2021 Annual Meeting, you will be asked to consider and vote on the matters described in this Proxy Statement and in the accompanying notice. The 2021 Annual Meeting will be held virtually on the Internet. You will be able to attend the annual meeting, vote, and submit questions during the meeting by visiting www.meetingcenter.io/276990237. Only common stockholders of record at the close of business on January 11, 2021, which is the record date for the 2021 Annual Meeting, are permitted to vote at the 2021 Annual Meeting and any adjournment or postponement thereof.</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The Company's Board of Directors (the "Board of Directors" or "Board") is soliciting your vote to:</w:t>
      </w:r>
    </w:p>
    <w:p>
      <w:pPr>
        <w:spacing w:after="0" w:line="145" w:lineRule="exact"/>
        <w:rPr>
          <w:sz w:val="20"/>
          <w:szCs w:val="20"/>
          <w:color w:val="auto"/>
        </w:rPr>
      </w:pPr>
    </w:p>
    <w:p>
      <w:pPr>
        <w:ind w:left="720" w:hanging="362"/>
        <w:spacing w:after="0"/>
        <w:tabs>
          <w:tab w:leader="none" w:pos="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Elect each of the 11 director nominees named in this Proxy Statement to the Company's Board of Directors to serve until the Company's 2022 Annual Meeting of Stockholders.</w:t>
      </w:r>
    </w:p>
    <w:p>
      <w:pPr>
        <w:spacing w:after="0" w:line="144" w:lineRule="exact"/>
        <w:rPr>
          <w:rFonts w:ascii="Arial" w:cs="Arial" w:eastAsia="Arial" w:hAnsi="Arial"/>
          <w:sz w:val="12"/>
          <w:szCs w:val="12"/>
          <w:color w:val="auto"/>
        </w:rPr>
      </w:pPr>
    </w:p>
    <w:p>
      <w:pPr>
        <w:ind w:left="720" w:hanging="362"/>
        <w:spacing w:after="0"/>
        <w:tabs>
          <w:tab w:leader="none" w:pos="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Ratify the selection of Ernst &amp; Young LLP as our independent registered public accounting firm for Fiscal Year 2021.</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Approve the Company's executive compensation, on an advisory basis.</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Consider and act upon a stockholder proposal regarding lobbying disclosure.</w:t>
      </w:r>
    </w:p>
    <w:p>
      <w:pPr>
        <w:spacing w:after="0" w:line="145"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 utilize the U.S. Securities and Exchange Commission rule allowing companies to furnish proxy materials to their stockholders over the Internet. We believe that this e-proxy process expedites stockholders' receipt of proxy materials while also lowering the costs and reducing the environmental impact of our annual meeting. On January 15, 2021, we began mailing a Notice of Internet Availability of Proxy Materials (the "Notice") to all stockholders of record as of January 11, 2021, and posted our proxy materials on the website referenced in the Notice. As more fully described in the Notice, all stockholders may choose to access our proxy materials on the website referred to in the Notice or may request a printed set of our proxy materials. In addition, the Notice and website provide information regarding how you may request proxy materials in printed form by mail or electronically by e-mail on an ongoing basis.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 xml:space="preserve">The Notice of Internet Availability of Proxy Materials, Proxy Statement and our Annual Report on Form 10-K are available at </w:t>
      </w:r>
      <w:r>
        <w:rPr>
          <w:rFonts w:ascii="Arial" w:cs="Arial" w:eastAsia="Arial" w:hAnsi="Arial"/>
          <w:sz w:val="12"/>
          <w:szCs w:val="12"/>
          <w:b w:val="1"/>
          <w:bCs w:val="1"/>
          <w:i w:val="1"/>
          <w:iCs w:val="1"/>
          <w:color w:val="00B2E5"/>
        </w:rPr>
        <w:t>investors.aecom.com.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4" w:name="page35"/>
    <w:bookmarkEnd w:id="34"/>
    <w:p>
      <w:pPr>
        <w:ind w:left="7"/>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ind w:left="7"/>
        <w:spacing w:after="0"/>
        <w:rPr>
          <w:sz w:val="20"/>
          <w:szCs w:val="20"/>
          <w:color w:val="auto"/>
        </w:rPr>
      </w:pPr>
      <w:r>
        <w:rPr>
          <w:rFonts w:ascii="Arial" w:cs="Arial" w:eastAsia="Arial" w:hAnsi="Arial"/>
          <w:sz w:val="29"/>
          <w:szCs w:val="29"/>
          <w:b w:val="1"/>
          <w:bCs w:val="1"/>
          <w:color w:val="00B2E5"/>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17677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21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00B2E5"/>
        </w:rPr>
        <w:t>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7677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ind w:left="7"/>
        <w:spacing w:after="0" w:line="250" w:lineRule="auto"/>
        <w:rPr>
          <w:sz w:val="20"/>
          <w:szCs w:val="20"/>
          <w:color w:val="auto"/>
        </w:rPr>
      </w:pPr>
      <w:r>
        <w:rPr>
          <w:rFonts w:ascii="Arial" w:cs="Arial" w:eastAsia="Arial" w:hAnsi="Arial"/>
          <w:sz w:val="12"/>
          <w:szCs w:val="12"/>
          <w:color w:val="auto"/>
        </w:rPr>
        <w:t>You may vote your shares at the 2021 Annual Meeting or by proxy if you are a record holder. There are three ways to vote by proxy: (1) on the Internet by following the instructions on the Notice or proxy card, (2) by telephone by calling 1-800-652-8683 and following the instructions on the Notice or proxy card or (3) by requesting a printed copy of the proxy materials and signing, dating and mailing the enclosed proxy card to our Corporate Secretary at the address below. If your shares are held in the name of a bank, broker or another holder of record, you will receive instructions from the holder of record. You must follow the instructions of the holder of record in order for your shares to be voted. Internet and telephone voting will also be offered to stockholders owning shares through certain banks and brokers.</w:t>
      </w:r>
    </w:p>
    <w:p>
      <w:pPr>
        <w:spacing w:after="0" w:line="118" w:lineRule="exact"/>
        <w:rPr>
          <w:sz w:val="20"/>
          <w:szCs w:val="20"/>
          <w:color w:val="auto"/>
        </w:rPr>
      </w:pPr>
    </w:p>
    <w:p>
      <w:pPr>
        <w:ind w:left="7"/>
        <w:spacing w:after="0"/>
        <w:rPr>
          <w:sz w:val="20"/>
          <w:szCs w:val="20"/>
          <w:color w:val="auto"/>
        </w:rPr>
      </w:pPr>
      <w:r>
        <w:rPr>
          <w:rFonts w:ascii="Arial" w:cs="Arial" w:eastAsia="Arial" w:hAnsi="Arial"/>
          <w:sz w:val="12"/>
          <w:szCs w:val="12"/>
          <w:color w:val="auto"/>
        </w:rPr>
        <w:t>You may revoke your proxy at any time before it is exercised at the 2021 Annual Meeting by (1) giving our Corporate Secretary written notice of revocation, (2) delivering to us a signed proxy card with a later date,</w:t>
      </w:r>
    </w:p>
    <w:p>
      <w:pPr>
        <w:spacing w:after="0" w:line="13" w:lineRule="exact"/>
        <w:rPr>
          <w:sz w:val="20"/>
          <w:szCs w:val="20"/>
          <w:color w:val="auto"/>
        </w:rPr>
      </w:pPr>
    </w:p>
    <w:p>
      <w:pPr>
        <w:ind w:left="7" w:hanging="7"/>
        <w:spacing w:after="0" w:line="250" w:lineRule="auto"/>
        <w:tabs>
          <w:tab w:leader="none" w:pos="185" w:val="left"/>
        </w:tabs>
        <w:numPr>
          <w:ilvl w:val="0"/>
          <w:numId w:val="13"/>
        </w:numPr>
        <w:rPr>
          <w:rFonts w:ascii="Arial" w:cs="Arial" w:eastAsia="Arial" w:hAnsi="Arial"/>
          <w:sz w:val="12"/>
          <w:szCs w:val="12"/>
          <w:color w:val="auto"/>
        </w:rPr>
      </w:pPr>
      <w:r>
        <w:rPr>
          <w:rFonts w:ascii="Arial" w:cs="Arial" w:eastAsia="Arial" w:hAnsi="Arial"/>
          <w:sz w:val="12"/>
          <w:szCs w:val="12"/>
          <w:color w:val="auto"/>
        </w:rPr>
        <w:t>granting a subsequent proxy through the Internet or telephone or (4) attending the 2021 Annual Meeting and voting. Written notices of revocation and other communications with respect to the revocation of proxies should be addressed to AECOM, 300 South Grand Avenue, 9th Floor, Los Angeles, California 90071, Attention: Corporate Secretary.</w:t>
      </w:r>
    </w:p>
    <w:p>
      <w:pPr>
        <w:spacing w:after="0" w:line="118" w:lineRule="exact"/>
        <w:rPr>
          <w:sz w:val="20"/>
          <w:szCs w:val="20"/>
          <w:color w:val="auto"/>
        </w:rPr>
      </w:pPr>
    </w:p>
    <w:p>
      <w:pPr>
        <w:jc w:val="both"/>
        <w:ind w:left="7"/>
        <w:spacing w:after="0" w:line="250" w:lineRule="auto"/>
        <w:rPr>
          <w:sz w:val="20"/>
          <w:szCs w:val="20"/>
          <w:color w:val="auto"/>
        </w:rPr>
      </w:pPr>
      <w:r>
        <w:rPr>
          <w:rFonts w:ascii="Arial" w:cs="Arial" w:eastAsia="Arial" w:hAnsi="Arial"/>
          <w:sz w:val="12"/>
          <w:szCs w:val="12"/>
          <w:color w:val="auto"/>
        </w:rPr>
        <w:t>All shares represented by valid proxies received and not revoked before they are exercised will be voted in the manner specified in the proxy. Other than with respect to certain trustees who hold our shares in trust, if you submit proxy voting instructions but do not direct how to vote on each item, the persons named as proxies will vote in accordance with the Board recommendations for the proposals. Our Board is unaware of any matters other than those described in this Proxy Statement that may be presented for action at our 2021 Annual Meeting. If other matters do properly come before our 2021 Annual Meeting, however, it is intended that shares represented by proxies will be voted in the discretion of the proxy holders.</w:t>
      </w:r>
    </w:p>
    <w:p>
      <w:pPr>
        <w:spacing w:after="0" w:line="118" w:lineRule="exact"/>
        <w:rPr>
          <w:sz w:val="20"/>
          <w:szCs w:val="20"/>
          <w:color w:val="auto"/>
        </w:rPr>
      </w:pPr>
    </w:p>
    <w:p>
      <w:pPr>
        <w:jc w:val="both"/>
        <w:ind w:left="7"/>
        <w:spacing w:after="0" w:line="256" w:lineRule="auto"/>
        <w:rPr>
          <w:sz w:val="20"/>
          <w:szCs w:val="20"/>
          <w:color w:val="auto"/>
        </w:rPr>
      </w:pPr>
      <w:r>
        <w:rPr>
          <w:rFonts w:ascii="Arial" w:cs="Arial" w:eastAsia="Arial" w:hAnsi="Arial"/>
          <w:sz w:val="12"/>
          <w:szCs w:val="12"/>
          <w:color w:val="auto"/>
        </w:rPr>
        <w:t>If you are a beneficial owner and hold your shares in the name of a bank, broker or another holder of record and do not return the voting instruction card, the broker or another nominee may vote your shares on each matter at the 2021 Annual Meeting for which he or she has the requisite discretionary authority. Under applicable rules, brokers have the discretion to vote on routine matters, which include the ratification of the selection of the independent registered public accounting firm. Brokers will not have the discretion to vote on any of the other proposals presented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7677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00B2E5"/>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7677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ind w:left="7"/>
        <w:spacing w:after="0" w:line="250" w:lineRule="auto"/>
        <w:rPr>
          <w:sz w:val="20"/>
          <w:szCs w:val="20"/>
          <w:color w:val="auto"/>
        </w:rPr>
      </w:pPr>
      <w:r>
        <w:rPr>
          <w:rFonts w:ascii="Arial" w:cs="Arial" w:eastAsia="Arial" w:hAnsi="Arial"/>
          <w:sz w:val="12"/>
          <w:szCs w:val="12"/>
          <w:color w:val="auto"/>
        </w:rPr>
        <w:t>We will pay the entire cost of soliciting proxies. In addition to soliciting proxies by mail and by the Internet, we will request banks, brokers and other record holders to send proxies and proxy materials to the beneficial owners of our common stock and to secure their voting instructions, if necessary. We will reimburse record holders for their reasonable expenses in performing these tasks. We have agreed to pay Innisfree M&amp;A Incorporated $25,000 plus reasonable expenses, costs and disbursements for various proxy solicitation services associated with the 2021 Annual Meeting. If necessary, we may use our regular employees, who will not be specially compensated, to solicit proxies from stockholders, whether personally or by telephone, letter or other means.</w:t>
      </w:r>
    </w:p>
    <w:p>
      <w:pPr>
        <w:spacing w:after="0" w:line="11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8375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35" w:name="page36"/>
    <w:bookmarkEnd w:id="35"/>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7677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Record Date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Our Board has fixed January 11, 2021 as the record date for determining the stockholders who are entitled to notice of, and to vote at, our 2021 Annual Meeting. Only common stockholders of record at the close of business on the record date will receive notice of, and be able to vote at, our 2021 Annual Meeting. As of the record date, there were 147,774,517 shares of our common stock outstanding held by 1,808 record holders. A majority of the stock issued and outstanding and entitled to vote must be present at our 2021 Annual Meeting, either in person or by proxy, in order for there to be a quorum at the meeting. Each share of our outstanding common stock entitles its holder to one vote. Shares of our common stock with respect to which the holders are present at our 2021 Annual Meeting but not voting, and shares for which we have received proxies but with respect to which holders of the shares have abstained, will be counted as present at our 2021 Annual Meeting for the purpose of determining whether or not a quorum exists. "Broker non-votes" will also be counted as present for the purpose of determining whether a quorum exists. Broker non-votes are shares of common stock held by brokers or nominees over which the broker or nominee lacks discretionary power to vote and for which the broker or nominee has not received specific voting instructions from the beneficial owner.</w:t>
      </w:r>
    </w:p>
    <w:p>
      <w:pPr>
        <w:spacing w:after="0" w:line="125"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color w:val="auto"/>
        </w:rPr>
        <w:t>Our Board urges you to vote promptly by either (1) electronically submitting a proxy or voting instruction card over the Internet, (2) by telephone or (3) by delivering to us or to your broker, as applicable, a signed and dated proxy card.</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Votes will be tabulated by the inspector of election appointed for the 2021 Annual Meeting, who will separately tabulate affirmative and negative votes, abstentions and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7677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Attending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Stockholders of record at the close of business on January 11, 2021 will be able to attend the annual meeting, vote, and submit questions during the 2021 Annual Meeting by visiting www.meetingcenter.io/276990237 at the meeting date and time. You should ensure that you have a strong Wi-Fi connection wherever you intend to participate in the meeting. You should also give yourself enough time to log in and ensure that you can hear streaming audio prior to the start of the meeting. We encourage you to access the 2021 Annual Meeting prior to the start time; online access will begin at 7:00 a.m., Pacific Time. The two items of information needed to access the virtual annual meeting from the website are as follows:</w:t>
      </w:r>
    </w:p>
    <w:p>
      <w:pPr>
        <w:spacing w:after="0" w:line="118" w:lineRule="exact"/>
        <w:rPr>
          <w:sz w:val="20"/>
          <w:szCs w:val="20"/>
          <w:color w:val="auto"/>
        </w:rPr>
      </w:pPr>
    </w:p>
    <w:p>
      <w:pPr>
        <w:ind w:left="720" w:hanging="362"/>
        <w:spacing w:after="0"/>
        <w:tabs>
          <w:tab w:leader="none" w:pos="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Control number: the 15-digit control number located in the shaded bar on the Notice, proxy card, or email notification you have received</w:t>
      </w:r>
    </w:p>
    <w:p>
      <w:pPr>
        <w:spacing w:after="0" w:line="144" w:lineRule="exact"/>
        <w:rPr>
          <w:rFonts w:ascii="Arial" w:cs="Arial" w:eastAsia="Arial" w:hAnsi="Arial"/>
          <w:sz w:val="12"/>
          <w:szCs w:val="12"/>
          <w:color w:val="auto"/>
        </w:rPr>
      </w:pPr>
    </w:p>
    <w:p>
      <w:pPr>
        <w:ind w:left="720" w:hanging="362"/>
        <w:spacing w:after="0"/>
        <w:tabs>
          <w:tab w:leader="none" w:pos="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Password: ACM2021</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Have the Notice or proxy card in hand when you access the website and then follow the instructions. If you are a stockholder of record, you are already registered for the virtual meeting. If you hold your shares beneficially in street name, you must register in advance to attend the virtual meeting, vote, and submit questions. To register in advance you must obtain a legal proxy from the broker, bank, or other nominee that holds your shares giving you the right to vote the shares. You must forward a copy of the legal proxy along with your email address to Computershare. Requests for registration should be sent by email to legalproxy@computershare.com or by mail to:</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Computershare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AECOM Legal Proxy</w:t>
      </w:r>
    </w:p>
    <w:p>
      <w:pPr>
        <w:spacing w:after="0" w:line="237" w:lineRule="auto"/>
        <w:rPr>
          <w:sz w:val="20"/>
          <w:szCs w:val="20"/>
          <w:color w:val="auto"/>
        </w:rPr>
      </w:pPr>
      <w:r>
        <w:rPr>
          <w:rFonts w:ascii="Arial" w:cs="Arial" w:eastAsia="Arial" w:hAnsi="Arial"/>
          <w:sz w:val="12"/>
          <w:szCs w:val="12"/>
          <w:color w:val="auto"/>
        </w:rPr>
        <w:t>P.O. Box 43001</w:t>
      </w:r>
    </w:p>
    <w:p>
      <w:pPr>
        <w:spacing w:after="0"/>
        <w:rPr>
          <w:sz w:val="20"/>
          <w:szCs w:val="20"/>
          <w:color w:val="auto"/>
        </w:rPr>
      </w:pPr>
      <w:r>
        <w:rPr>
          <w:rFonts w:ascii="Arial" w:cs="Arial" w:eastAsia="Arial" w:hAnsi="Arial"/>
          <w:sz w:val="12"/>
          <w:szCs w:val="12"/>
          <w:color w:val="auto"/>
        </w:rPr>
        <w:t>Providence, RI 02940-3001</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Requests for registration must be labeled as "Legal Proxy" and be received no later than 5:00 p.m., Eastern Time, on February 19, 2021.</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Stockholders of record and beneficial owners who duly registered to attend the 2021 Annual Meeting will be able to vote their shares and submit questions at any time during the virtual meeting by following the instructions on the website referenced above. You will be able to vote your shares electronically while attending the 2021 Annual Meeting via the virtual meeting platform by following the instructions on the website. You may also submit questions in advance of the 2021 Annual Meeting beginning approximately two weeks prior to the meeting by logging into www.meetingcenter.io/276990237 and following the instructions on the website.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6" w:name="page37"/>
    <w:bookmarkEnd w:id="36"/>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Our aim is to offer shareholders rights and participation opportunities during our virtual annual meeting that are comparable to those that have been provided at our past in-person annual meetings of shareholders, using online tools to facilitate shareholder access and participation. We will answer questions that comply with the meeting rules of conduct during the annual meeting of stockholders, subject to time constraints. If we receive substantially similar questions, we will group such questions together. Questions relevant to meeting matters that we do not have time to answer during the meeting will be posted to our website following the meeting. Questions regarding personal matters or matters not relevant to meeting matters will not be answered.</w:t>
      </w:r>
    </w:p>
    <w:p>
      <w:pPr>
        <w:spacing w:after="0" w:line="118"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If you have technical difficulties or trouble accessing the virtual meeting at any time after online access commences at 8:00 a.m., Pacific Time, on the date of the annual meeting, please access the support link provided on the website referenced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7677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Year End Reporting Convention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We report our results of operations based on 52- or 53-week periods ending on the Friday nearest September 30. For clarity of presentation, all periods are presented as if the fiscal year ended on September 30.</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Fiscal 2020 consisted of a 53-week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90170</wp:posOffset>
            </wp:positionV>
            <wp:extent cx="717677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Majority Voting; Director Resignation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In uncontested elections, directors will be elected by a majority of the votes cast, which means that the number of shares voted "for" a director must exceed the number of shares voted "against" that director. In uncontested elections, any director who is not elected by a majority of the votes is expected to tender his or her resignation to the Nominating and Governance Committee ("Nominating Committee"). The Nominating Committee will recommend to the Board whether to accept or reject the resignation offer, or whether other action should be taken. The Board will act on the Nominating Committee's recommendation within 90 days following certification of the election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PROPOSAL 1</w:t>
      </w:r>
    </w:p>
    <w:p>
      <w:pPr>
        <w:spacing w:after="0" w:line="44"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ELECTION OF DIRECTORS</w:t>
      </w:r>
    </w:p>
    <w:p>
      <w:pPr>
        <w:spacing w:after="0" w:line="13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 are nominating 11 directors for election to our Board, 9 of whom are current members of our Board that are standing for re-election at the 2021 Annual Meeting. Directors elected at the 2021 Annual Meeting will serve until the 2022 Annual Meeting of Stockholders and until their successors are duly elected and qualified. If a quorum is present at our 2021 Annual Meeting, the directors will be elected by a majority of the votes cast, which means that the number of shares voted "for" a director must exceed the number of shares voted "against" that director, with any director who is not elected by a majority of the votes case being expected to tender his or her resignation to the Nominating Committee. The Nominating Committee will recommend to the Board whether to accept or reject the resignation offer, or whether other action should be taken. The Board will act on the Nominating Committee's recommendation within 90 days following certification of the election results.</w:t>
      </w:r>
    </w:p>
    <w:p>
      <w:pPr>
        <w:spacing w:after="0" w:line="119"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Shares represented by proxies will be voted, if authority to do so is not withheld, for the election of each of the director nominees named in this Proxy Statement. The size of our Board is currently 11 directors, and we are nominating 11 director nominees. Proxies cannot be voted for a greater number of persons than the number of nominees named. Each of the nominees has consented to serve as a director if elected, and management has no reason to believe that any nominee will be unable or unwilling to serve if elected as a director, except as set forth in the remainder of this paragraph. In the event that any nominee is unavailable for re-election as a result of an unexpected occurrence, shares will be voted for the election of such substitute nominee as our Board may propose.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7677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The Board believes that, as a whole, Board members should possess a combination of the skills, professional experience and diversity of backgrounds necessary to oversee the Company's business. The Nominating Committee is responsible for developing and recommending Board membership criteria to the full Board for approval. The criteria, which are set forth in the Company's Corporate Governance Guidelines, include the highest professional and personal ethics and values, commitment to enhancing stockholder value with sufficient time to effectively carry out his or her duties and business acumen. In considering director candidates, the Nominating Committee looks for business experience and skills, judgment, integrity, an understanding of such areas as finance, marketing, regulation and public policy and the absence of potential conflicts with the Company's interests. In particular, the Nominating Committee seeks candidates that have skills/experience in the following areas, each of which it is views as particularly important: senior leadership experience, industry experience, public company experience, financial expertise, government/regulatory expertise and international expertise. The Nominating Committee believes that it is essential that Board members represent diverse viewpoints and backgrounds.</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The Nominating Committee periodically reviews the appropriate skills and characteristics required of Board members in the context of the current composition of the Board, the operating requirements of the Company and the long-term interests of the Company's stockholders. In conducting this assessment, the Nominating Committee considers diversity, skills and such other factors as it deems appropriate to maintain a balance of knowledge, experience and capabilities. This periodic assessment enables the Board to update the skills and experience it seeks in the Board, as a whole and in individual directors, as the Company's needs evolve over time and to assess the effectiveness of efforts at pursuing diversity. From time to time, while identifying director candidates, the Nominating Committee may establish specific skills and experience that it believes the Company should seek in order to constitute a balanced and effective Board.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Board Skills and Experience</w:t>
      </w:r>
    </w:p>
    <w:p>
      <w:pPr>
        <w:spacing w:after="0" w:line="150"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Board members should possess a combination of the skills, professional experience and diversity of backgrounds necessary to oversee AECOM's business. The following sections summarize the specific skills, professional experience and background information of each director nominee that led the Board of Directors to conclude that each such person should serve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73660</wp:posOffset>
            </wp:positionV>
            <wp:extent cx="3958590" cy="31775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958590" cy="3177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Key Skills and Experience</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SENIOR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1666875" cy="927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66875" cy="9271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Directors who have served in senior leadership positions are important to us, as they have the experience and perspective to analyze, shape, and oversee the execution of important operational and policy issues.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INDUSTRY / PROJECT DELIVERY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1637665" cy="927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37665" cy="92710"/>
                    </a:xfrm>
                    <a:prstGeom prst="rect">
                      <a:avLst/>
                    </a:prstGeom>
                    <a:noFill/>
                  </pic:spPr>
                </pic:pic>
              </a:graphicData>
            </a:graphic>
          </wp:anchor>
        </w:drawing>
      </w:r>
    </w:p>
    <w:p>
      <w:pPr>
        <w:spacing w:after="0" w:line="294" w:lineRule="exact"/>
        <w:rPr>
          <w:sz w:val="20"/>
          <w:szCs w:val="20"/>
          <w:color w:val="auto"/>
        </w:rPr>
      </w:pPr>
    </w:p>
    <w:p>
      <w:pPr>
        <w:jc w:val="both"/>
        <w:spacing w:after="0" w:line="321" w:lineRule="auto"/>
        <w:rPr>
          <w:sz w:val="20"/>
          <w:szCs w:val="20"/>
          <w:color w:val="auto"/>
        </w:rPr>
      </w:pPr>
      <w:r>
        <w:rPr>
          <w:rFonts w:ascii="Arial" w:cs="Arial" w:eastAsia="Arial" w:hAnsi="Arial"/>
          <w:sz w:val="11"/>
          <w:szCs w:val="11"/>
          <w:color w:val="auto"/>
        </w:rPr>
        <w:t>Directors with industry experience are a key asset to the Company as their industry experience and knowledge provides valuable oversight and direction in managing, growing and improving our business.</w:t>
      </w:r>
    </w:p>
    <w:p>
      <w:pPr>
        <w:spacing w:after="0" w:line="467" w:lineRule="exact"/>
        <w:rPr>
          <w:sz w:val="20"/>
          <w:szCs w:val="20"/>
          <w:color w:val="auto"/>
        </w:rPr>
      </w:pPr>
    </w:p>
    <w:p>
      <w:pPr>
        <w:sectPr>
          <w:pgSz w:w="11900" w:h="16838" w:orient="portrait"/>
          <w:cols w:equalWidth="0" w:num="2">
            <w:col w:w="5420" w:space="460"/>
            <w:col w:w="5420"/>
          </w:cols>
          <w:pgMar w:left="300" w:top="128" w:right="299" w:bottom="1440" w:gutter="0" w:footer="0" w:header="0"/>
        </w:sectPr>
      </w:pP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PUBLIC COMPANY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1637665" cy="927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37665" cy="92710"/>
                    </a:xfrm>
                    <a:prstGeom prst="rect">
                      <a:avLst/>
                    </a:prstGeom>
                    <a:noFill/>
                  </pic:spPr>
                </pic:pic>
              </a:graphicData>
            </a:graphic>
          </wp:anchor>
        </w:drawing>
      </w:r>
    </w:p>
    <w:p>
      <w:pPr>
        <w:spacing w:after="0" w:line="294"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Directors with public company Board or executive experience understand the dynamics and operation of a corporate Board, the relationship of a Board to the CEO and other management personnel, the importance of particular agenda and oversight issues, and how to oversee a changing mix of strategic, operational and compliance-related matters.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REGULATORY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1637665" cy="927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37665" cy="92710"/>
                    </a:xfrm>
                    <a:prstGeom prst="rect">
                      <a:avLst/>
                    </a:prstGeom>
                    <a:noFill/>
                  </pic:spPr>
                </pic:pic>
              </a:graphicData>
            </a:graphic>
          </wp:anchor>
        </w:drawing>
      </w:r>
    </w:p>
    <w:p>
      <w:pPr>
        <w:spacing w:after="0" w:line="29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Directors with experience in addressing regulatory matters or who have served in government positions provide valuable insights that help us work constructively with governments and regulatory bodies around the world and address significant public policy issues.</w:t>
      </w:r>
    </w:p>
    <w:p>
      <w:pPr>
        <w:spacing w:after="0" w:line="333" w:lineRule="exact"/>
        <w:rPr>
          <w:sz w:val="20"/>
          <w:szCs w:val="20"/>
          <w:color w:val="auto"/>
        </w:rPr>
      </w:pPr>
    </w:p>
    <w:p>
      <w:pPr>
        <w:sectPr>
          <w:pgSz w:w="11900" w:h="16838" w:orient="portrait"/>
          <w:cols w:equalWidth="0" w:num="2">
            <w:col w:w="5420" w:space="460"/>
            <w:col w:w="5420"/>
          </w:cols>
          <w:pgMar w:left="300" w:top="128" w:right="29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1666875" cy="927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66875" cy="92710"/>
                    </a:xfrm>
                    <a:prstGeom prst="rect">
                      <a:avLst/>
                    </a:prstGeom>
                    <a:noFill/>
                  </pic:spPr>
                </pic:pic>
              </a:graphicData>
            </a:graphic>
          </wp:anchor>
        </w:drawing>
      </w:r>
    </w:p>
    <w:p>
      <w:pPr>
        <w:spacing w:after="0" w:line="294"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Knowledge of financial markets, financing and funding operations, and financial and accounting reporting processes is also important. This experience assists our Directors in understanding, advising on, and overseeing our capital structure, finance and investing activities, and our financial reporting and internal controls.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INTERNATIONAL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1637665" cy="927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37665" cy="92710"/>
                    </a:xfrm>
                    <a:prstGeom prst="rect">
                      <a:avLst/>
                    </a:prstGeom>
                    <a:noFill/>
                  </pic:spPr>
                </pic:pic>
              </a:graphicData>
            </a:graphic>
          </wp:anchor>
        </w:drawing>
      </w:r>
    </w:p>
    <w:p>
      <w:pPr>
        <w:spacing w:after="0" w:line="294"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Directors with international experience can provide valuable business and cultural perspectives regarding many important aspects of AECOM's business given AECOM's vast global reach.</w:t>
      </w:r>
    </w:p>
    <w:p>
      <w:pPr>
        <w:spacing w:after="0" w:line="364" w:lineRule="exact"/>
        <w:rPr>
          <w:sz w:val="20"/>
          <w:szCs w:val="20"/>
          <w:color w:val="auto"/>
        </w:rPr>
      </w:pPr>
    </w:p>
    <w:p>
      <w:pPr>
        <w:sectPr>
          <w:pgSz w:w="11900" w:h="16838" w:orient="portrait"/>
          <w:cols w:equalWidth="0" w:num="2">
            <w:col w:w="5420" w:space="460"/>
            <w:col w:w="5420"/>
          </w:cols>
          <w:pgMar w:left="300" w:top="128" w:right="299" w:bottom="1440" w:gutter="0" w:footer="0" w:header="0"/>
          <w:type w:val="continuous"/>
        </w:sectPr>
      </w:pPr>
    </w:p>
    <w:p>
      <w:pPr>
        <w:spacing w:after="0"/>
        <w:rPr>
          <w:sz w:val="20"/>
          <w:szCs w:val="20"/>
          <w:color w:val="auto"/>
        </w:rPr>
      </w:pPr>
      <w:r>
        <w:rPr>
          <w:rFonts w:ascii="Arial" w:cs="Arial" w:eastAsia="Arial" w:hAnsi="Arial"/>
          <w:sz w:val="15"/>
          <w:szCs w:val="15"/>
          <w:b w:val="1"/>
          <w:bCs w:val="1"/>
          <w:color w:val="00B2E5"/>
        </w:rPr>
        <w:t>Board Age and Tenure</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i w:val="1"/>
          <w:iCs w:val="1"/>
          <w:color w:val="00B2E5"/>
        </w:rPr>
        <w:t>Current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108585</wp:posOffset>
            </wp:positionV>
            <wp:extent cx="1637665" cy="13950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37665" cy="1395095"/>
                    </a:xfrm>
                    <a:prstGeom prst="rect">
                      <a:avLst/>
                    </a:prstGeom>
                    <a:noFill/>
                  </pic:spPr>
                </pic:pic>
              </a:graphicData>
            </a:graphic>
          </wp:anchor>
        </w:drawing>
        <w:drawing>
          <wp:anchor simplePos="0" relativeHeight="251657728" behindDoc="1" locked="0" layoutInCell="0" allowOverlap="1">
            <wp:simplePos x="0" y="0"/>
            <wp:positionH relativeFrom="column">
              <wp:posOffset>4191635</wp:posOffset>
            </wp:positionH>
            <wp:positionV relativeFrom="paragraph">
              <wp:posOffset>108585</wp:posOffset>
            </wp:positionV>
            <wp:extent cx="1776730" cy="1238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76730" cy="123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type w:val="continuous"/>
        </w:sectPr>
      </w:pPr>
    </w:p>
    <w:bookmarkStart w:id="40" w:name="page41"/>
    <w:bookmarkEnd w:id="40"/>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00B2E5"/>
        </w:rPr>
        <w:t>Nominees for Election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1268730</wp:posOffset>
            </wp:positionH>
            <wp:positionV relativeFrom="paragraph">
              <wp:posOffset>101600</wp:posOffset>
            </wp:positionV>
            <wp:extent cx="1649730" cy="1371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49730" cy="1371600"/>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101600</wp:posOffset>
            </wp:positionV>
            <wp:extent cx="1788160" cy="12153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88160" cy="1215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Nominees for Directors</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The following section sets forth certain background information on the 11 nominees for election as directors as well as each individual's specific experience, qualifications and skills that led our Board to conclude that each such director nominee should serve on our Board. On December 8, 2020 we announced changes to our Board in collaboration with a significant stockholder, Starboard Value LP ("Starboard"), including the nomination of Diane C. Creel and Sander van't Noordende as directors and the renomination of Bradley W. Buss, Robert G. Card and Jacqueline C. Hinman, the three directors previously appointed pursuant to a November 2019 agreement with Starboard (the "Starboard Agreement"). As previously announced, Steven A. Kandarian and Dr. Robert J. Routs will not stand for re-election at the 2021 Annual Meeting.</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Board Diversity</w:t>
      </w:r>
    </w:p>
    <w:p>
      <w:pPr>
        <w:spacing w:after="0" w:line="147" w:lineRule="exact"/>
        <w:rPr>
          <w:sz w:val="20"/>
          <w:szCs w:val="20"/>
          <w:color w:val="auto"/>
        </w:rPr>
      </w:pPr>
    </w:p>
    <w:p>
      <w:pPr>
        <w:jc w:val="both"/>
        <w:ind w:right="9560"/>
        <w:spacing w:after="0" w:line="242" w:lineRule="auto"/>
        <w:rPr>
          <w:sz w:val="20"/>
          <w:szCs w:val="20"/>
          <w:color w:val="auto"/>
        </w:rPr>
      </w:pPr>
      <w:r>
        <w:rPr>
          <w:rFonts w:ascii="Arial" w:cs="Arial" w:eastAsia="Arial" w:hAnsi="Arial"/>
          <w:sz w:val="12"/>
          <w:szCs w:val="12"/>
          <w:color w:val="auto"/>
        </w:rPr>
        <w:t>As part of our efforts to promote diversity on our Board, five out of the 11 nominees for election as directors at the 2021 Annual Meeting are diverse, consisting of four women, including one African American woman, and one director who self-identifies as LGBTQ+.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1199515</wp:posOffset>
            </wp:positionH>
            <wp:positionV relativeFrom="paragraph">
              <wp:posOffset>-786765</wp:posOffset>
            </wp:positionV>
            <wp:extent cx="2465705" cy="12674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65705" cy="126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FFFFE"/>
        </w:rPr>
        <w:t>Bradley W. Buss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-86360</wp:posOffset>
            </wp:positionV>
            <wp:extent cx="787400" cy="25406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87400" cy="2540635"/>
                    </a:xfrm>
                    <a:prstGeom prst="rect">
                      <a:avLst/>
                    </a:prstGeom>
                    <a:noFill/>
                  </pic:spPr>
                </pic:pic>
              </a:graphicData>
            </a:graphic>
          </wp:anchor>
        </w:drawing>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 xml:space="preserve">Age: </w:t>
      </w:r>
      <w:r>
        <w:rPr>
          <w:rFonts w:ascii="Arial" w:cs="Arial" w:eastAsia="Arial" w:hAnsi="Arial"/>
          <w:sz w:val="12"/>
          <w:szCs w:val="12"/>
          <w:color w:val="FFFFFE"/>
        </w:rPr>
        <w:t>57</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E"/>
        </w:rPr>
        <w:t xml:space="preserve">Director Since: </w:t>
      </w:r>
      <w:r>
        <w:rPr>
          <w:rFonts w:ascii="Arial" w:cs="Arial" w:eastAsia="Arial" w:hAnsi="Arial"/>
          <w:sz w:val="11"/>
          <w:szCs w:val="11"/>
          <w:color w:val="FFFFFE"/>
        </w:rPr>
        <w:t>2020</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Board Committees:</w:t>
      </w:r>
    </w:p>
    <w:p>
      <w:pPr>
        <w:spacing w:after="0" w:line="15" w:lineRule="exact"/>
        <w:rPr>
          <w:sz w:val="20"/>
          <w:szCs w:val="20"/>
          <w:color w:val="auto"/>
        </w:rPr>
      </w:pPr>
    </w:p>
    <w:p>
      <w:pPr>
        <w:ind w:left="60" w:right="60" w:firstLine="6"/>
        <w:spacing w:after="0" w:line="237" w:lineRule="auto"/>
        <w:tabs>
          <w:tab w:leader="none" w:pos="134" w:val="left"/>
        </w:tabs>
        <w:numPr>
          <w:ilvl w:val="0"/>
          <w:numId w:val="15"/>
        </w:numPr>
        <w:rPr>
          <w:rFonts w:ascii="Arial" w:cs="Arial" w:eastAsia="Arial" w:hAnsi="Arial"/>
          <w:sz w:val="12"/>
          <w:szCs w:val="12"/>
          <w:color w:val="FFFFFE"/>
        </w:rPr>
      </w:pPr>
      <w:r>
        <w:rPr>
          <w:rFonts w:ascii="Arial" w:cs="Arial" w:eastAsia="Arial" w:hAnsi="Arial"/>
          <w:sz w:val="12"/>
          <w:szCs w:val="12"/>
          <w:color w:val="FFFFFE"/>
        </w:rPr>
        <w:t>Compensation and Organization</w:t>
      </w:r>
    </w:p>
    <w:p>
      <w:pPr>
        <w:ind w:left="60" w:right="220" w:firstLine="6"/>
        <w:spacing w:after="0" w:line="250" w:lineRule="auto"/>
        <w:tabs>
          <w:tab w:leader="none" w:pos="134" w:val="left"/>
        </w:tabs>
        <w:numPr>
          <w:ilvl w:val="0"/>
          <w:numId w:val="15"/>
        </w:numPr>
        <w:rPr>
          <w:rFonts w:ascii="Arial" w:cs="Arial" w:eastAsia="Arial" w:hAnsi="Arial"/>
          <w:sz w:val="12"/>
          <w:szCs w:val="12"/>
          <w:color w:val="FFFFFE"/>
        </w:rPr>
      </w:pPr>
      <w:r>
        <w:rPr>
          <w:rFonts w:ascii="Arial" w:cs="Arial" w:eastAsia="Arial" w:hAnsi="Arial"/>
          <w:sz w:val="12"/>
          <w:szCs w:val="12"/>
          <w:color w:val="FFFFFE"/>
        </w:rPr>
        <w:t>Nominating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E"/>
        </w:rPr>
        <w:t>Robert G.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787400" cy="32467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87400" cy="3246755"/>
                    </a:xfrm>
                    <a:prstGeom prst="rect">
                      <a:avLst/>
                    </a:prstGeom>
                    <a:noFill/>
                  </pic:spPr>
                </pic:pic>
              </a:graphicData>
            </a:graphic>
          </wp:anchor>
        </w:drawing>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 xml:space="preserve">Age: </w:t>
      </w:r>
      <w:r>
        <w:rPr>
          <w:rFonts w:ascii="Arial" w:cs="Arial" w:eastAsia="Arial" w:hAnsi="Arial"/>
          <w:sz w:val="12"/>
          <w:szCs w:val="12"/>
          <w:color w:val="FFFFFE"/>
        </w:rPr>
        <w:t>67</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E"/>
        </w:rPr>
        <w:t xml:space="preserve">Director Since: </w:t>
      </w:r>
      <w:r>
        <w:rPr>
          <w:rFonts w:ascii="Arial" w:cs="Arial" w:eastAsia="Arial" w:hAnsi="Arial"/>
          <w:sz w:val="11"/>
          <w:szCs w:val="11"/>
          <w:color w:val="FFFFFE"/>
        </w:rPr>
        <w:t>2019</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Board Committee:</w:t>
      </w:r>
    </w:p>
    <w:p>
      <w:pPr>
        <w:spacing w:after="0" w:line="13" w:lineRule="exact"/>
        <w:rPr>
          <w:sz w:val="20"/>
          <w:szCs w:val="20"/>
          <w:color w:val="auto"/>
        </w:rPr>
      </w:pPr>
    </w:p>
    <w:p>
      <w:pPr>
        <w:ind w:left="140" w:hanging="74"/>
        <w:spacing w:after="0"/>
        <w:tabs>
          <w:tab w:leader="none" w:pos="140" w:val="left"/>
        </w:tabs>
        <w:numPr>
          <w:ilvl w:val="0"/>
          <w:numId w:val="16"/>
        </w:numPr>
        <w:rPr>
          <w:rFonts w:ascii="Arial" w:cs="Arial" w:eastAsia="Arial" w:hAnsi="Arial"/>
          <w:sz w:val="12"/>
          <w:szCs w:val="12"/>
          <w:color w:val="FFFFFE"/>
        </w:rPr>
      </w:pPr>
      <w:r>
        <w:rPr>
          <w:rFonts w:ascii="Arial" w:cs="Arial" w:eastAsia="Arial" w:hAnsi="Arial"/>
          <w:sz w:val="12"/>
          <w:szCs w:val="12"/>
          <w:color w:val="FFFFFE"/>
        </w:rPr>
        <w:t>Audit</w:t>
      </w:r>
    </w:p>
    <w:p>
      <w:pPr>
        <w:ind w:left="60" w:right="220" w:firstLine="6"/>
        <w:spacing w:after="0" w:line="250" w:lineRule="auto"/>
        <w:tabs>
          <w:tab w:leader="none" w:pos="134" w:val="left"/>
        </w:tabs>
        <w:numPr>
          <w:ilvl w:val="0"/>
          <w:numId w:val="16"/>
        </w:numPr>
        <w:rPr>
          <w:rFonts w:ascii="Arial" w:cs="Arial" w:eastAsia="Arial" w:hAnsi="Arial"/>
          <w:sz w:val="12"/>
          <w:szCs w:val="12"/>
          <w:color w:val="FFFFFE"/>
        </w:rPr>
      </w:pPr>
      <w:r>
        <w:rPr>
          <w:rFonts w:ascii="Arial" w:cs="Arial" w:eastAsia="Arial" w:hAnsi="Arial"/>
          <w:sz w:val="12"/>
          <w:szCs w:val="12"/>
          <w:color w:val="FFFFFE"/>
        </w:rPr>
        <w:t>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2"/>
          <w:szCs w:val="12"/>
          <w:color w:val="auto"/>
        </w:rPr>
        <w:t>Mr. Buss brings to our Board executive experience and extensive financial and accounting expertise with both public and private technology-focused companies in diverse industries.</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Mr. Buss' prior experience as the Chief Financial Officer of publicly-traded companies and his prior and current service on public company boards enable him to provide valuable insight to our</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Board on issues that impact public companies.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Business Experience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SolarCity Corporation</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 Chief Financial Officer (2014 - 2016)</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Cypress Semiconductor Corporation</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 Chief Financial Officer (2005 to 2014)</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Public Boards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QuantumScape Corporation </w:t>
      </w:r>
      <w:r>
        <w:rPr>
          <w:rFonts w:ascii="Arial" w:cs="Arial" w:eastAsia="Arial" w:hAnsi="Arial"/>
          <w:sz w:val="12"/>
          <w:szCs w:val="12"/>
          <w:color w:val="auto"/>
        </w:rPr>
        <w:t>(2020 - Present)</w:t>
      </w:r>
    </w:p>
    <w:p>
      <w:pPr>
        <w:spacing w:after="0" w:line="237" w:lineRule="auto"/>
        <w:rPr>
          <w:sz w:val="20"/>
          <w:szCs w:val="20"/>
          <w:color w:val="auto"/>
        </w:rPr>
      </w:pPr>
      <w:r>
        <w:rPr>
          <w:rFonts w:ascii="Arial" w:cs="Arial" w:eastAsia="Arial" w:hAnsi="Arial"/>
          <w:sz w:val="12"/>
          <w:szCs w:val="12"/>
          <w:i w:val="1"/>
          <w:iCs w:val="1"/>
          <w:color w:val="auto"/>
        </w:rPr>
        <w:t xml:space="preserve">Marvell Technology Group Ltd. </w:t>
      </w:r>
      <w:r>
        <w:rPr>
          <w:rFonts w:ascii="Arial" w:cs="Arial" w:eastAsia="Arial" w:hAnsi="Arial"/>
          <w:sz w:val="12"/>
          <w:szCs w:val="12"/>
          <w:color w:val="auto"/>
        </w:rPr>
        <w:t>(2018 - Present)</w:t>
      </w:r>
    </w:p>
    <w:p>
      <w:pPr>
        <w:spacing w:after="0"/>
        <w:rPr>
          <w:sz w:val="20"/>
          <w:szCs w:val="20"/>
          <w:color w:val="auto"/>
        </w:rPr>
      </w:pPr>
      <w:r>
        <w:rPr>
          <w:rFonts w:ascii="Arial" w:cs="Arial" w:eastAsia="Arial" w:hAnsi="Arial"/>
          <w:sz w:val="12"/>
          <w:szCs w:val="12"/>
          <w:i w:val="1"/>
          <w:iCs w:val="1"/>
          <w:color w:val="auto"/>
        </w:rPr>
        <w:t xml:space="preserve">Advance Auto Parts, Inc. </w:t>
      </w:r>
      <w:r>
        <w:rPr>
          <w:rFonts w:ascii="Arial" w:cs="Arial" w:eastAsia="Arial" w:hAnsi="Arial"/>
          <w:sz w:val="12"/>
          <w:szCs w:val="12"/>
          <w:color w:val="auto"/>
        </w:rPr>
        <w:t>(2016 - Present)</w:t>
      </w:r>
    </w:p>
    <w:p>
      <w:pPr>
        <w:spacing w:after="0" w:line="237" w:lineRule="auto"/>
        <w:rPr>
          <w:sz w:val="20"/>
          <w:szCs w:val="20"/>
          <w:color w:val="auto"/>
        </w:rPr>
      </w:pPr>
      <w:r>
        <w:rPr>
          <w:rFonts w:ascii="Arial" w:cs="Arial" w:eastAsia="Arial" w:hAnsi="Arial"/>
          <w:sz w:val="12"/>
          <w:szCs w:val="12"/>
          <w:i w:val="1"/>
          <w:iCs w:val="1"/>
          <w:color w:val="auto"/>
        </w:rPr>
        <w:t xml:space="preserve">Cavium, Inc. </w:t>
      </w:r>
      <w:r>
        <w:rPr>
          <w:rFonts w:ascii="Arial" w:cs="Arial" w:eastAsia="Arial" w:hAnsi="Arial"/>
          <w:sz w:val="12"/>
          <w:szCs w:val="12"/>
          <w:color w:val="auto"/>
        </w:rPr>
        <w:t>(2016 - 2018)</w:t>
      </w:r>
    </w:p>
    <w:p>
      <w:pPr>
        <w:spacing w:after="0"/>
        <w:rPr>
          <w:sz w:val="20"/>
          <w:szCs w:val="20"/>
          <w:color w:val="auto"/>
        </w:rPr>
      </w:pPr>
      <w:r>
        <w:rPr>
          <w:rFonts w:ascii="Arial" w:cs="Arial" w:eastAsia="Arial" w:hAnsi="Arial"/>
          <w:sz w:val="12"/>
          <w:szCs w:val="12"/>
          <w:i w:val="1"/>
          <w:iCs w:val="1"/>
          <w:color w:val="auto"/>
        </w:rPr>
        <w:t xml:space="preserve">Tesla, Inc. </w:t>
      </w:r>
      <w:r>
        <w:rPr>
          <w:rFonts w:ascii="Arial" w:cs="Arial" w:eastAsia="Arial" w:hAnsi="Arial"/>
          <w:sz w:val="12"/>
          <w:szCs w:val="12"/>
          <w:color w:val="auto"/>
        </w:rPr>
        <w:t>(2009 - 2019)</w:t>
      </w:r>
    </w:p>
    <w:p>
      <w:pPr>
        <w:spacing w:after="0"/>
        <w:rPr>
          <w:sz w:val="20"/>
          <w:szCs w:val="20"/>
          <w:color w:val="auto"/>
        </w:rPr>
      </w:pPr>
      <w:r>
        <w:rPr>
          <w:rFonts w:ascii="Arial" w:cs="Arial" w:eastAsia="Arial" w:hAnsi="Arial"/>
          <w:sz w:val="12"/>
          <w:szCs w:val="12"/>
          <w:i w:val="1"/>
          <w:iCs w:val="1"/>
          <w:color w:val="auto"/>
        </w:rPr>
        <w:t xml:space="preserve">Café Press </w:t>
      </w:r>
      <w:r>
        <w:rPr>
          <w:rFonts w:ascii="Arial" w:cs="Arial" w:eastAsia="Arial" w:hAnsi="Arial"/>
          <w:sz w:val="12"/>
          <w:szCs w:val="12"/>
          <w:color w:val="auto"/>
        </w:rPr>
        <w:t>(2007 - 2016)</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Private Boards and Community Service</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Diamond Foundry </w:t>
      </w:r>
      <w:r>
        <w:rPr>
          <w:rFonts w:ascii="Arial" w:cs="Arial" w:eastAsia="Arial" w:hAnsi="Arial"/>
          <w:sz w:val="12"/>
          <w:szCs w:val="12"/>
          <w:color w:val="auto"/>
        </w:rPr>
        <w:t>(2018 - Present)</w:t>
      </w:r>
    </w:p>
    <w:p>
      <w:pPr>
        <w:spacing w:after="0"/>
        <w:rPr>
          <w:sz w:val="20"/>
          <w:szCs w:val="20"/>
          <w:color w:val="auto"/>
        </w:rPr>
      </w:pPr>
      <w:r>
        <w:rPr>
          <w:rFonts w:ascii="Arial" w:cs="Arial" w:eastAsia="Arial" w:hAnsi="Arial"/>
          <w:sz w:val="12"/>
          <w:szCs w:val="12"/>
          <w:i w:val="1"/>
          <w:iCs w:val="1"/>
          <w:color w:val="auto"/>
        </w:rPr>
        <w:t xml:space="preserve">TuSimple </w:t>
      </w:r>
      <w:r>
        <w:rPr>
          <w:rFonts w:ascii="Arial" w:cs="Arial" w:eastAsia="Arial" w:hAnsi="Arial"/>
          <w:sz w:val="12"/>
          <w:szCs w:val="12"/>
          <w:color w:val="auto"/>
        </w:rPr>
        <w:t>(2020 - Present)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Education</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Bachelor of Arts, Economics </w:t>
      </w:r>
      <w:r>
        <w:rPr>
          <w:rFonts w:ascii="Arial" w:cs="Arial" w:eastAsia="Arial" w:hAnsi="Arial"/>
          <w:sz w:val="12"/>
          <w:szCs w:val="12"/>
          <w:color w:val="auto"/>
        </w:rPr>
        <w:t>(McMaster University)</w:t>
      </w:r>
    </w:p>
    <w:p>
      <w:pPr>
        <w:spacing w:after="0"/>
        <w:rPr>
          <w:sz w:val="20"/>
          <w:szCs w:val="20"/>
          <w:color w:val="auto"/>
        </w:rPr>
      </w:pPr>
      <w:r>
        <w:rPr>
          <w:rFonts w:ascii="Arial" w:cs="Arial" w:eastAsia="Arial" w:hAnsi="Arial"/>
          <w:sz w:val="12"/>
          <w:szCs w:val="12"/>
          <w:i w:val="1"/>
          <w:iCs w:val="1"/>
          <w:color w:val="auto"/>
        </w:rPr>
        <w:t xml:space="preserve">Business Administration Degree, Majoring in Finance and Accounting </w:t>
      </w:r>
      <w:r>
        <w:rPr>
          <w:rFonts w:ascii="Arial" w:cs="Arial" w:eastAsia="Arial" w:hAnsi="Arial"/>
          <w:sz w:val="12"/>
          <w:szCs w:val="12"/>
          <w:color w:val="auto"/>
        </w:rPr>
        <w:t>(University of Windsor)</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Mr. Card brings to our Board strong expertise in the architecture, engineering and construction industry through his leadership of infrastructure firms in Canada and the United States.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Mr. Card's public sector background adds valuable perspective in light of AECOM's extensive work with government clients paired with substantial corporate board experience.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Business Experience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Card Group LLC</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 President (2015 - Present)</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SNC-Lavalin Group Inc.</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•President and Chief Executive Officer (2012 - 2015)</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CH2M HILL Companies, Ltd.</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•President, Energy, Water and Facilities Divisions (2004 - 2012)</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Public Service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 Department of Energy</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•Under Secretary of Energy (2001 - 2004)</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Public Boards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Amec Foster Wheeler plc </w:t>
      </w:r>
      <w:r>
        <w:rPr>
          <w:rFonts w:ascii="Arial" w:cs="Arial" w:eastAsia="Arial" w:hAnsi="Arial"/>
          <w:sz w:val="12"/>
          <w:szCs w:val="12"/>
          <w:color w:val="auto"/>
        </w:rPr>
        <w:t>(2017)</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SNC-Lavalin Group Inc. (2012 - 2015)</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Private Boards and Community Service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Westinghouse Electric Company LLC </w:t>
      </w:r>
      <w:r>
        <w:rPr>
          <w:rFonts w:ascii="Arial" w:cs="Arial" w:eastAsia="Arial" w:hAnsi="Arial"/>
          <w:sz w:val="12"/>
          <w:szCs w:val="12"/>
          <w:color w:val="auto"/>
        </w:rPr>
        <w:t>(2018 - Present)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Longenecker &amp; Associates </w:t>
      </w:r>
      <w:r>
        <w:rPr>
          <w:rFonts w:ascii="Arial" w:cs="Arial" w:eastAsia="Arial" w:hAnsi="Arial"/>
          <w:sz w:val="12"/>
          <w:szCs w:val="12"/>
          <w:color w:val="auto"/>
        </w:rPr>
        <w:t>LLC (2016 - Present)</w:t>
      </w:r>
    </w:p>
    <w:p>
      <w:pPr>
        <w:spacing w:after="0"/>
        <w:rPr>
          <w:sz w:val="20"/>
          <w:szCs w:val="20"/>
          <w:color w:val="auto"/>
        </w:rPr>
      </w:pPr>
      <w:r>
        <w:rPr>
          <w:rFonts w:ascii="Arial" w:cs="Arial" w:eastAsia="Arial" w:hAnsi="Arial"/>
          <w:sz w:val="12"/>
          <w:szCs w:val="12"/>
          <w:i w:val="1"/>
          <w:iCs w:val="1"/>
          <w:color w:val="auto"/>
        </w:rPr>
        <w:t xml:space="preserve">CH2M Hill Companies, Ltd. </w:t>
      </w:r>
      <w:r>
        <w:rPr>
          <w:rFonts w:ascii="Arial" w:cs="Arial" w:eastAsia="Arial" w:hAnsi="Arial"/>
          <w:sz w:val="12"/>
          <w:szCs w:val="12"/>
          <w:color w:val="auto"/>
        </w:rPr>
        <w:t>(2005 - 2012)</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Education</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Bachelor of Science, Civil Engineering </w:t>
      </w:r>
      <w:r>
        <w:rPr>
          <w:rFonts w:ascii="Arial" w:cs="Arial" w:eastAsia="Arial" w:hAnsi="Arial"/>
          <w:sz w:val="12"/>
          <w:szCs w:val="12"/>
          <w:color w:val="auto"/>
        </w:rPr>
        <w:t>(University of Washington)</w:t>
      </w:r>
    </w:p>
    <w:p>
      <w:pPr>
        <w:spacing w:after="0"/>
        <w:rPr>
          <w:sz w:val="20"/>
          <w:szCs w:val="20"/>
          <w:color w:val="auto"/>
        </w:rPr>
      </w:pPr>
      <w:r>
        <w:rPr>
          <w:rFonts w:ascii="Arial" w:cs="Arial" w:eastAsia="Arial" w:hAnsi="Arial"/>
          <w:sz w:val="12"/>
          <w:szCs w:val="12"/>
          <w:i w:val="1"/>
          <w:iCs w:val="1"/>
          <w:color w:val="auto"/>
        </w:rPr>
        <w:t xml:space="preserve">Master of Science, Civil and Environmental Engineering </w:t>
      </w:r>
      <w:r>
        <w:rPr>
          <w:rFonts w:ascii="Arial" w:cs="Arial" w:eastAsia="Arial" w:hAnsi="Arial"/>
          <w:sz w:val="12"/>
          <w:szCs w:val="12"/>
          <w:color w:val="auto"/>
        </w:rPr>
        <w:t>(Stanford University)</w:t>
      </w:r>
    </w:p>
    <w:p>
      <w:pPr>
        <w:spacing w:after="0" w:line="131" w:lineRule="exact"/>
        <w:rPr>
          <w:sz w:val="20"/>
          <w:szCs w:val="20"/>
          <w:color w:val="auto"/>
        </w:rPr>
      </w:pPr>
    </w:p>
    <w:p>
      <w:pPr>
        <w:ind w:left="428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95885</wp:posOffset>
            </wp:positionV>
            <wp:extent cx="7183755"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2">
            <w:col w:w="1200" w:space="100"/>
            <w:col w:w="10000"/>
          </w:cols>
          <w:pgMar w:left="300" w:top="128" w:right="29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87400" cy="34150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87400" cy="341503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FFFFE"/>
        </w:rPr>
        <w:t>Diane C. Creel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 xml:space="preserve">Age: </w:t>
      </w:r>
      <w:r>
        <w:rPr>
          <w:rFonts w:ascii="Arial" w:cs="Arial" w:eastAsia="Arial" w:hAnsi="Arial"/>
          <w:sz w:val="12"/>
          <w:szCs w:val="12"/>
          <w:color w:val="FFFFFE"/>
        </w:rPr>
        <w:t>72</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E"/>
        </w:rPr>
        <w:t>Director Nominee</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Ms. Creel brings to our Board decades of experience in architecture and engineering. Her management experience includes operations, finance, marketing, international expansion and mergers and acquisitions.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Business Experience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Ecovation</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•Chairman and Chief Executive Officer (2003 - 2008)</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Earth Tech, Inc.</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•Chairman and Chief Executive Officer (1992 - 2003)</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•Chief Operating Officer (1988 - 1992)</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•Vice President (1984 - 1988)</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CH2M Hill</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•Director of Business Development (1978 - 1984)</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Public Boards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TimkenSteel Corporation </w:t>
      </w:r>
      <w:r>
        <w:rPr>
          <w:rFonts w:ascii="Arial" w:cs="Arial" w:eastAsia="Arial" w:hAnsi="Arial"/>
          <w:sz w:val="12"/>
          <w:szCs w:val="12"/>
          <w:color w:val="auto"/>
        </w:rPr>
        <w:t>(2012 - Present)</w:t>
      </w:r>
    </w:p>
    <w:p>
      <w:pPr>
        <w:spacing w:after="0" w:line="237" w:lineRule="auto"/>
        <w:rPr>
          <w:sz w:val="20"/>
          <w:szCs w:val="20"/>
          <w:color w:val="auto"/>
        </w:rPr>
      </w:pPr>
      <w:r>
        <w:rPr>
          <w:rFonts w:ascii="Arial" w:cs="Arial" w:eastAsia="Arial" w:hAnsi="Arial"/>
          <w:sz w:val="12"/>
          <w:szCs w:val="12"/>
          <w:i w:val="1"/>
          <w:iCs w:val="1"/>
          <w:color w:val="auto"/>
        </w:rPr>
        <w:t xml:space="preserve">EnPro Industries </w:t>
      </w:r>
      <w:r>
        <w:rPr>
          <w:rFonts w:ascii="Arial" w:cs="Arial" w:eastAsia="Arial" w:hAnsi="Arial"/>
          <w:sz w:val="12"/>
          <w:szCs w:val="12"/>
          <w:color w:val="auto"/>
        </w:rPr>
        <w:t>(2010 - Present)</w:t>
      </w:r>
    </w:p>
    <w:p>
      <w:pPr>
        <w:spacing w:after="0"/>
        <w:rPr>
          <w:sz w:val="20"/>
          <w:szCs w:val="20"/>
          <w:color w:val="auto"/>
        </w:rPr>
      </w:pPr>
      <w:r>
        <w:rPr>
          <w:rFonts w:ascii="Arial" w:cs="Arial" w:eastAsia="Arial" w:hAnsi="Arial"/>
          <w:sz w:val="12"/>
          <w:szCs w:val="12"/>
          <w:i w:val="1"/>
          <w:iCs w:val="1"/>
          <w:color w:val="auto"/>
        </w:rPr>
        <w:t xml:space="preserve">Allegheny Technologies Incorporated </w:t>
      </w:r>
      <w:r>
        <w:rPr>
          <w:rFonts w:ascii="Arial" w:cs="Arial" w:eastAsia="Arial" w:hAnsi="Arial"/>
          <w:sz w:val="12"/>
          <w:szCs w:val="12"/>
          <w:color w:val="auto"/>
        </w:rPr>
        <w:t>(1998 - Present)</w:t>
      </w:r>
    </w:p>
    <w:p>
      <w:pPr>
        <w:spacing w:after="0" w:line="237" w:lineRule="auto"/>
        <w:rPr>
          <w:sz w:val="20"/>
          <w:szCs w:val="20"/>
          <w:color w:val="auto"/>
        </w:rPr>
      </w:pPr>
      <w:r>
        <w:rPr>
          <w:rFonts w:ascii="Arial" w:cs="Arial" w:eastAsia="Arial" w:hAnsi="Arial"/>
          <w:sz w:val="12"/>
          <w:szCs w:val="12"/>
          <w:i w:val="1"/>
          <w:iCs w:val="1"/>
          <w:color w:val="auto"/>
        </w:rPr>
        <w:t xml:space="preserve">URS Corporation </w:t>
      </w:r>
      <w:r>
        <w:rPr>
          <w:rFonts w:ascii="Arial" w:cs="Arial" w:eastAsia="Arial" w:hAnsi="Arial"/>
          <w:sz w:val="12"/>
          <w:szCs w:val="12"/>
          <w:color w:val="auto"/>
        </w:rPr>
        <w:t>(2014)</w:t>
      </w:r>
    </w:p>
    <w:p>
      <w:pPr>
        <w:spacing w:after="0"/>
        <w:rPr>
          <w:sz w:val="20"/>
          <w:szCs w:val="20"/>
          <w:color w:val="auto"/>
        </w:rPr>
      </w:pPr>
      <w:r>
        <w:rPr>
          <w:rFonts w:ascii="Arial" w:cs="Arial" w:eastAsia="Arial" w:hAnsi="Arial"/>
          <w:sz w:val="12"/>
          <w:szCs w:val="12"/>
          <w:i w:val="1"/>
          <w:iCs w:val="1"/>
          <w:color w:val="auto"/>
        </w:rPr>
        <w:t xml:space="preserve">Foster Wheeler Ltd. </w:t>
      </w:r>
      <w:r>
        <w:rPr>
          <w:rFonts w:ascii="Arial" w:cs="Arial" w:eastAsia="Arial" w:hAnsi="Arial"/>
          <w:sz w:val="12"/>
          <w:szCs w:val="12"/>
          <w:color w:val="auto"/>
        </w:rPr>
        <w:t>(2004 - 2008)</w:t>
      </w:r>
    </w:p>
    <w:p>
      <w:pPr>
        <w:spacing w:after="0" w:line="237" w:lineRule="auto"/>
        <w:rPr>
          <w:sz w:val="20"/>
          <w:szCs w:val="20"/>
          <w:color w:val="auto"/>
        </w:rPr>
      </w:pPr>
      <w:r>
        <w:rPr>
          <w:rFonts w:ascii="Arial" w:cs="Arial" w:eastAsia="Arial" w:hAnsi="Arial"/>
          <w:sz w:val="12"/>
          <w:szCs w:val="12"/>
          <w:i w:val="1"/>
          <w:iCs w:val="1"/>
          <w:color w:val="auto"/>
        </w:rPr>
        <w:t xml:space="preserve">Teledyne Corporation </w:t>
      </w:r>
      <w:r>
        <w:rPr>
          <w:rFonts w:ascii="Arial" w:cs="Arial" w:eastAsia="Arial" w:hAnsi="Arial"/>
          <w:sz w:val="12"/>
          <w:szCs w:val="12"/>
          <w:color w:val="auto"/>
        </w:rPr>
        <w:t>(1999 - 2005)</w:t>
      </w:r>
    </w:p>
    <w:p>
      <w:pPr>
        <w:spacing w:after="0"/>
        <w:rPr>
          <w:sz w:val="20"/>
          <w:szCs w:val="20"/>
          <w:color w:val="auto"/>
        </w:rPr>
      </w:pPr>
      <w:r>
        <w:rPr>
          <w:rFonts w:ascii="Arial" w:cs="Arial" w:eastAsia="Arial" w:hAnsi="Arial"/>
          <w:sz w:val="12"/>
          <w:szCs w:val="12"/>
          <w:i w:val="1"/>
          <w:iCs w:val="1"/>
          <w:color w:val="auto"/>
        </w:rPr>
        <w:t xml:space="preserve">Goodrich Corporation </w:t>
      </w:r>
      <w:r>
        <w:rPr>
          <w:rFonts w:ascii="Arial" w:cs="Arial" w:eastAsia="Arial" w:hAnsi="Arial"/>
          <w:sz w:val="12"/>
          <w:szCs w:val="12"/>
          <w:color w:val="auto"/>
        </w:rPr>
        <w:t>(1997 - 2012)</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Private Boards and Community Service</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Lipscomb University Board of Trustees </w:t>
      </w:r>
      <w:r>
        <w:rPr>
          <w:rFonts w:ascii="Arial" w:cs="Arial" w:eastAsia="Arial" w:hAnsi="Arial"/>
          <w:sz w:val="12"/>
          <w:szCs w:val="12"/>
          <w:color w:val="auto"/>
        </w:rPr>
        <w:t>(2017 - Present)</w:t>
      </w:r>
    </w:p>
    <w:p>
      <w:pPr>
        <w:spacing w:after="0" w:line="237" w:lineRule="auto"/>
        <w:rPr>
          <w:sz w:val="20"/>
          <w:szCs w:val="20"/>
          <w:color w:val="auto"/>
        </w:rPr>
      </w:pPr>
      <w:r>
        <w:rPr>
          <w:rFonts w:ascii="Arial" w:cs="Arial" w:eastAsia="Arial" w:hAnsi="Arial"/>
          <w:sz w:val="12"/>
          <w:szCs w:val="12"/>
          <w:i w:val="1"/>
          <w:iCs w:val="1"/>
          <w:color w:val="auto"/>
        </w:rPr>
        <w:t xml:space="preserve">Canyon Creek Foundation </w:t>
      </w:r>
      <w:r>
        <w:rPr>
          <w:rFonts w:ascii="Arial" w:cs="Arial" w:eastAsia="Arial" w:hAnsi="Arial"/>
          <w:sz w:val="12"/>
          <w:szCs w:val="12"/>
          <w:color w:val="auto"/>
        </w:rPr>
        <w:t>(2008 - Present)</w:t>
      </w:r>
    </w:p>
    <w:p>
      <w:pPr>
        <w:spacing w:after="0"/>
        <w:rPr>
          <w:sz w:val="20"/>
          <w:szCs w:val="20"/>
          <w:color w:val="auto"/>
        </w:rPr>
      </w:pPr>
      <w:r>
        <w:rPr>
          <w:rFonts w:ascii="Arial" w:cs="Arial" w:eastAsia="Arial" w:hAnsi="Arial"/>
          <w:sz w:val="12"/>
          <w:szCs w:val="12"/>
          <w:i w:val="1"/>
          <w:iCs w:val="1"/>
          <w:color w:val="auto"/>
        </w:rPr>
        <w:t xml:space="preserve">H.W. Lochner, Inc. </w:t>
      </w:r>
      <w:r>
        <w:rPr>
          <w:rFonts w:ascii="Arial" w:cs="Arial" w:eastAsia="Arial" w:hAnsi="Arial"/>
          <w:sz w:val="12"/>
          <w:szCs w:val="12"/>
          <w:color w:val="auto"/>
        </w:rPr>
        <w:t>(2009 - February 2021)</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Education</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Bachelor of Arts, Journalism </w:t>
      </w:r>
      <w:r>
        <w:rPr>
          <w:rFonts w:ascii="Arial" w:cs="Arial" w:eastAsia="Arial" w:hAnsi="Arial"/>
          <w:sz w:val="12"/>
          <w:szCs w:val="12"/>
          <w:color w:val="auto"/>
        </w:rPr>
        <w:t>(University of South Carolina)</w:t>
      </w:r>
    </w:p>
    <w:p>
      <w:pPr>
        <w:spacing w:after="0"/>
        <w:rPr>
          <w:sz w:val="20"/>
          <w:szCs w:val="20"/>
          <w:color w:val="auto"/>
        </w:rPr>
      </w:pPr>
      <w:r>
        <w:rPr>
          <w:rFonts w:ascii="Arial" w:cs="Arial" w:eastAsia="Arial" w:hAnsi="Arial"/>
          <w:sz w:val="12"/>
          <w:szCs w:val="12"/>
          <w:i w:val="1"/>
          <w:iCs w:val="1"/>
          <w:color w:val="auto"/>
        </w:rPr>
        <w:t xml:space="preserve">Master's Degree, Communications </w:t>
      </w:r>
      <w:r>
        <w:rPr>
          <w:rFonts w:ascii="Arial" w:cs="Arial" w:eastAsia="Arial" w:hAnsi="Arial"/>
          <w:sz w:val="12"/>
          <w:szCs w:val="12"/>
          <w:color w:val="auto"/>
        </w:rPr>
        <w:t>(University of South Carolina)</w:t>
      </w:r>
    </w:p>
    <w:p>
      <w:pPr>
        <w:spacing w:after="0" w:line="131" w:lineRule="exact"/>
        <w:rPr>
          <w:sz w:val="20"/>
          <w:szCs w:val="20"/>
          <w:color w:val="auto"/>
        </w:rPr>
      </w:pPr>
    </w:p>
    <w:p>
      <w:pPr>
        <w:ind w:left="4280"/>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95885</wp:posOffset>
            </wp:positionV>
            <wp:extent cx="7183755" cy="18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2">
            <w:col w:w="1060" w:space="240"/>
            <w:col w:w="10000"/>
          </w:cols>
          <w:pgMar w:left="300" w:top="128" w:right="29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87400" cy="28936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87400" cy="2893695"/>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E"/>
        </w:rPr>
        <w:t>Jacqueline C.</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E"/>
        </w:rPr>
        <w:t>Hinman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 xml:space="preserve">Age: </w:t>
      </w:r>
      <w:r>
        <w:rPr>
          <w:rFonts w:ascii="Arial" w:cs="Arial" w:eastAsia="Arial" w:hAnsi="Arial"/>
          <w:sz w:val="12"/>
          <w:szCs w:val="12"/>
          <w:color w:val="FFFFFE"/>
        </w:rPr>
        <w:t>59</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E"/>
        </w:rPr>
        <w:t xml:space="preserve">Director Since: </w:t>
      </w:r>
      <w:r>
        <w:rPr>
          <w:rFonts w:ascii="Arial" w:cs="Arial" w:eastAsia="Arial" w:hAnsi="Arial"/>
          <w:sz w:val="11"/>
          <w:szCs w:val="11"/>
          <w:color w:val="FFFFFE"/>
        </w:rPr>
        <w:t>2019</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Board Committee:</w:t>
      </w:r>
    </w:p>
    <w:p>
      <w:pPr>
        <w:spacing w:after="0" w:line="15" w:lineRule="exact"/>
        <w:rPr>
          <w:sz w:val="20"/>
          <w:szCs w:val="20"/>
          <w:color w:val="auto"/>
        </w:rPr>
      </w:pPr>
    </w:p>
    <w:p>
      <w:pPr>
        <w:ind w:left="60" w:right="60" w:firstLine="6"/>
        <w:spacing w:after="0" w:line="237" w:lineRule="auto"/>
        <w:tabs>
          <w:tab w:leader="none" w:pos="134" w:val="left"/>
        </w:tabs>
        <w:numPr>
          <w:ilvl w:val="0"/>
          <w:numId w:val="17"/>
        </w:numPr>
        <w:rPr>
          <w:rFonts w:ascii="Arial" w:cs="Arial" w:eastAsia="Arial" w:hAnsi="Arial"/>
          <w:sz w:val="12"/>
          <w:szCs w:val="12"/>
          <w:color w:val="FFFFFE"/>
        </w:rPr>
      </w:pPr>
      <w:r>
        <w:rPr>
          <w:rFonts w:ascii="Arial" w:cs="Arial" w:eastAsia="Arial" w:hAnsi="Arial"/>
          <w:sz w:val="12"/>
          <w:szCs w:val="12"/>
          <w:color w:val="FFFFFE"/>
        </w:rPr>
        <w:t>Compensation and Organization</w:t>
      </w:r>
    </w:p>
    <w:p>
      <w:pPr>
        <w:ind w:left="60" w:right="200" w:firstLine="6"/>
        <w:spacing w:after="0" w:line="295" w:lineRule="auto"/>
        <w:tabs>
          <w:tab w:leader="none" w:pos="134" w:val="left"/>
        </w:tabs>
        <w:numPr>
          <w:ilvl w:val="0"/>
          <w:numId w:val="17"/>
        </w:numPr>
        <w:rPr>
          <w:rFonts w:ascii="Arial" w:cs="Arial" w:eastAsia="Arial" w:hAnsi="Arial"/>
          <w:sz w:val="11"/>
          <w:szCs w:val="11"/>
          <w:color w:val="FFFFFE"/>
        </w:rPr>
      </w:pPr>
      <w:r>
        <w:rPr>
          <w:rFonts w:ascii="Arial" w:cs="Arial" w:eastAsia="Arial" w:hAnsi="Arial"/>
          <w:sz w:val="11"/>
          <w:szCs w:val="11"/>
          <w:color w:val="FFFFFE"/>
        </w:rPr>
        <w:t>Safety, Risk and Sustainability</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Ms. Hinman brings to our Board strong knowledge, management and operational experience in the engineering and construction management industry. Due to her prior experience as the Chief Executive Officer of a large engineering firm and her current service on public company boards, Ms. Hinman brings corporate governance and corporate strategy expertise.</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Business Experience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CH2M Hill Companies, Ltd.</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•Chairman, President, Chief Executive Officer and Director (2014 - 2017)</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•President, International and Infrastructure (2005 to 2013)</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•Senior Vice President and Project Manager (1988 - 1996)</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Earth Tech, Inc.</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•Senior Vice President, Government, Facilities and Infrastructure Division (2001 - 2003)</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Talisman Partners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•Founder and Chief Executive Officer (1997 - 2001)</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Public Boards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Dow Chemical Company </w:t>
      </w:r>
      <w:r>
        <w:rPr>
          <w:rFonts w:ascii="Arial" w:cs="Arial" w:eastAsia="Arial" w:hAnsi="Arial"/>
          <w:sz w:val="12"/>
          <w:szCs w:val="12"/>
          <w:color w:val="auto"/>
        </w:rPr>
        <w:t>(2019 - Present)</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International Paper Company </w:t>
      </w:r>
      <w:r>
        <w:rPr>
          <w:rFonts w:ascii="Arial" w:cs="Arial" w:eastAsia="Arial" w:hAnsi="Arial"/>
          <w:sz w:val="12"/>
          <w:szCs w:val="12"/>
          <w:color w:val="auto"/>
        </w:rPr>
        <w:t>(2017 - Present)</w:t>
      </w:r>
    </w:p>
    <w:p>
      <w:pPr>
        <w:spacing w:after="0" w:line="129" w:lineRule="exact"/>
        <w:rPr>
          <w:sz w:val="20"/>
          <w:szCs w:val="20"/>
          <w:color w:val="auto"/>
        </w:rPr>
      </w:pPr>
    </w:p>
    <w:p>
      <w:pPr>
        <w:sectPr>
          <w:pgSz w:w="11900" w:h="16838" w:orient="portrait"/>
          <w:cols w:equalWidth="0" w:num="2">
            <w:col w:w="1200" w:space="100"/>
            <w:col w:w="10000"/>
          </w:cols>
          <w:pgMar w:left="300" w:top="12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E"/>
        </w:rPr>
        <w:t>Lydia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787400" cy="28936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87400" cy="28936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b w:val="1"/>
          <w:bCs w:val="1"/>
          <w:color w:val="FFFFFE"/>
        </w:rPr>
        <w:t>Kennard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 xml:space="preserve">Age: </w:t>
      </w:r>
      <w:r>
        <w:rPr>
          <w:rFonts w:ascii="Arial" w:cs="Arial" w:eastAsia="Arial" w:hAnsi="Arial"/>
          <w:sz w:val="12"/>
          <w:szCs w:val="12"/>
          <w:color w:val="FFFFFE"/>
        </w:rPr>
        <w:t>66</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E"/>
        </w:rPr>
        <w:t xml:space="preserve">Director Since: </w:t>
      </w:r>
      <w:r>
        <w:rPr>
          <w:rFonts w:ascii="Arial" w:cs="Arial" w:eastAsia="Arial" w:hAnsi="Arial"/>
          <w:sz w:val="11"/>
          <w:szCs w:val="11"/>
          <w:color w:val="FFFFFE"/>
        </w:rPr>
        <w:t>2020</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Board Committee:</w:t>
      </w:r>
    </w:p>
    <w:p>
      <w:pPr>
        <w:spacing w:after="0" w:line="15" w:lineRule="exact"/>
        <w:rPr>
          <w:sz w:val="20"/>
          <w:szCs w:val="20"/>
          <w:color w:val="auto"/>
        </w:rPr>
      </w:pPr>
    </w:p>
    <w:p>
      <w:pPr>
        <w:ind w:left="60" w:right="200" w:firstLine="6"/>
        <w:spacing w:after="0" w:line="294" w:lineRule="auto"/>
        <w:tabs>
          <w:tab w:leader="none" w:pos="134" w:val="left"/>
        </w:tabs>
        <w:numPr>
          <w:ilvl w:val="0"/>
          <w:numId w:val="18"/>
        </w:numPr>
        <w:rPr>
          <w:rFonts w:ascii="Arial" w:cs="Arial" w:eastAsia="Arial" w:hAnsi="Arial"/>
          <w:sz w:val="11"/>
          <w:szCs w:val="11"/>
          <w:color w:val="FFFFFE"/>
        </w:rPr>
      </w:pPr>
      <w:r>
        <w:rPr>
          <w:rFonts w:ascii="Arial" w:cs="Arial" w:eastAsia="Arial" w:hAnsi="Arial"/>
          <w:sz w:val="11"/>
          <w:szCs w:val="11"/>
          <w:color w:val="FFFFFE"/>
        </w:rPr>
        <w:t>Safety, Risk and Sustainability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00B2E5"/>
        </w:rPr>
        <w:t>Private Boards and Community Service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CH2M Hill Companies, Ltd. </w:t>
      </w:r>
      <w:r>
        <w:rPr>
          <w:rFonts w:ascii="Arial" w:cs="Arial" w:eastAsia="Arial" w:hAnsi="Arial"/>
          <w:sz w:val="12"/>
          <w:szCs w:val="12"/>
          <w:color w:val="auto"/>
        </w:rPr>
        <w:t>(2008 - 2017)</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Education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Bachelor of Science, Civil Engineering </w:t>
      </w:r>
      <w:r>
        <w:rPr>
          <w:rFonts w:ascii="Arial" w:cs="Arial" w:eastAsia="Arial" w:hAnsi="Arial"/>
          <w:sz w:val="12"/>
          <w:szCs w:val="12"/>
          <w:color w:val="auto"/>
        </w:rPr>
        <w:t>(Pennsylvania State University)</w:t>
      </w:r>
    </w:p>
    <w:p>
      <w:pPr>
        <w:spacing w:after="0" w:line="121" w:lineRule="exact"/>
        <w:rPr>
          <w:sz w:val="20"/>
          <w:szCs w:val="20"/>
          <w:color w:val="auto"/>
        </w:rPr>
      </w:pPr>
    </w:p>
    <w:p>
      <w:pPr>
        <w:ind w:right="20"/>
        <w:spacing w:after="0" w:line="274" w:lineRule="auto"/>
        <w:rPr>
          <w:sz w:val="20"/>
          <w:szCs w:val="20"/>
          <w:color w:val="auto"/>
        </w:rPr>
      </w:pPr>
      <w:r>
        <w:rPr>
          <w:rFonts w:ascii="Arial" w:cs="Arial" w:eastAsia="Arial" w:hAnsi="Arial"/>
          <w:sz w:val="12"/>
          <w:szCs w:val="12"/>
          <w:color w:val="auto"/>
        </w:rPr>
        <w:t>Ms. Kennard brings to our Board more than 40 years of executive and operational experience in real estate development and construction management. From her service on multiple public company boards, she adds important insights into operational requirements and challenges faced by public companies.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Business Experience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KDG Construction Consulting</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•Founder and Chief Executive Officer (1980 - 1994 and 2007 - Present)</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Airport Property Ventures, LLC</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•Principal (2007 - Present)</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Los Angeles World Airports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•Executive Director (1999 - 2003 and 2005 - 2007)</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Public Boards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Healthpeak Properties, Inc. </w:t>
      </w:r>
      <w:r>
        <w:rPr>
          <w:rFonts w:ascii="Arial" w:cs="Arial" w:eastAsia="Arial" w:hAnsi="Arial"/>
          <w:sz w:val="12"/>
          <w:szCs w:val="12"/>
          <w:color w:val="auto"/>
        </w:rPr>
        <w:t>(2018 - Present)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Prologis, Inc. </w:t>
      </w:r>
      <w:r>
        <w:rPr>
          <w:rFonts w:ascii="Arial" w:cs="Arial" w:eastAsia="Arial" w:hAnsi="Arial"/>
          <w:sz w:val="12"/>
          <w:szCs w:val="12"/>
          <w:color w:val="auto"/>
        </w:rPr>
        <w:t>(2004 - Present)</w:t>
      </w:r>
    </w:p>
    <w:p>
      <w:pPr>
        <w:spacing w:after="0" w:line="237" w:lineRule="auto"/>
        <w:rPr>
          <w:sz w:val="20"/>
          <w:szCs w:val="20"/>
          <w:color w:val="auto"/>
        </w:rPr>
      </w:pPr>
      <w:r>
        <w:rPr>
          <w:rFonts w:ascii="Arial" w:cs="Arial" w:eastAsia="Arial" w:hAnsi="Arial"/>
          <w:sz w:val="12"/>
          <w:szCs w:val="12"/>
          <w:i w:val="1"/>
          <w:iCs w:val="1"/>
          <w:color w:val="auto"/>
        </w:rPr>
        <w:t xml:space="preserve">Freeport-McMoRan Inc. </w:t>
      </w:r>
      <w:r>
        <w:rPr>
          <w:rFonts w:ascii="Arial" w:cs="Arial" w:eastAsia="Arial" w:hAnsi="Arial"/>
          <w:sz w:val="12"/>
          <w:szCs w:val="12"/>
          <w:color w:val="auto"/>
        </w:rPr>
        <w:t>(2013 - Present)</w:t>
      </w:r>
    </w:p>
    <w:p>
      <w:pPr>
        <w:spacing w:after="0"/>
        <w:rPr>
          <w:sz w:val="20"/>
          <w:szCs w:val="20"/>
          <w:color w:val="auto"/>
        </w:rPr>
      </w:pPr>
      <w:r>
        <w:rPr>
          <w:rFonts w:ascii="Arial" w:cs="Arial" w:eastAsia="Arial" w:hAnsi="Arial"/>
          <w:sz w:val="12"/>
          <w:szCs w:val="12"/>
          <w:i w:val="1"/>
          <w:iCs w:val="1"/>
          <w:color w:val="auto"/>
        </w:rPr>
        <w:t xml:space="preserve">URS Corporation </w:t>
      </w:r>
      <w:r>
        <w:rPr>
          <w:rFonts w:ascii="Arial" w:cs="Arial" w:eastAsia="Arial" w:hAnsi="Arial"/>
          <w:sz w:val="12"/>
          <w:szCs w:val="12"/>
          <w:color w:val="auto"/>
        </w:rPr>
        <w:t>(2007 - 2014)</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Private Boards and Community Service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University of Southern California, Life Trustee</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California Air Resources Board </w:t>
      </w:r>
      <w:r>
        <w:rPr>
          <w:rFonts w:ascii="Arial" w:cs="Arial" w:eastAsia="Arial" w:hAnsi="Arial"/>
          <w:sz w:val="12"/>
          <w:szCs w:val="12"/>
          <w:color w:val="auto"/>
        </w:rPr>
        <w:t>(2004 - 2011)</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Education</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Bachelor of Science, Urban Planning and Management </w:t>
      </w:r>
      <w:r>
        <w:rPr>
          <w:rFonts w:ascii="Arial" w:cs="Arial" w:eastAsia="Arial" w:hAnsi="Arial"/>
          <w:sz w:val="12"/>
          <w:szCs w:val="12"/>
          <w:color w:val="auto"/>
        </w:rPr>
        <w:t>(Stanford University)</w:t>
      </w:r>
    </w:p>
    <w:p>
      <w:pPr>
        <w:spacing w:after="0" w:line="237" w:lineRule="auto"/>
        <w:rPr>
          <w:sz w:val="20"/>
          <w:szCs w:val="20"/>
          <w:color w:val="auto"/>
        </w:rPr>
      </w:pPr>
      <w:r>
        <w:rPr>
          <w:rFonts w:ascii="Arial" w:cs="Arial" w:eastAsia="Arial" w:hAnsi="Arial"/>
          <w:sz w:val="12"/>
          <w:szCs w:val="12"/>
          <w:i w:val="1"/>
          <w:iCs w:val="1"/>
          <w:color w:val="auto"/>
        </w:rPr>
        <w:t xml:space="preserve">Master's Degree, City Planning </w:t>
      </w:r>
      <w:r>
        <w:rPr>
          <w:rFonts w:ascii="Arial" w:cs="Arial" w:eastAsia="Arial" w:hAnsi="Arial"/>
          <w:sz w:val="12"/>
          <w:szCs w:val="12"/>
          <w:color w:val="auto"/>
        </w:rPr>
        <w:t>(Massachusetts Institute of Technology)</w:t>
      </w:r>
    </w:p>
    <w:p>
      <w:pPr>
        <w:spacing w:after="0"/>
        <w:rPr>
          <w:sz w:val="20"/>
          <w:szCs w:val="20"/>
          <w:color w:val="auto"/>
        </w:rPr>
      </w:pPr>
      <w:r>
        <w:rPr>
          <w:rFonts w:ascii="Arial" w:cs="Arial" w:eastAsia="Arial" w:hAnsi="Arial"/>
          <w:sz w:val="12"/>
          <w:szCs w:val="12"/>
          <w:i w:val="1"/>
          <w:iCs w:val="1"/>
          <w:color w:val="auto"/>
        </w:rPr>
        <w:t xml:space="preserve">Juris Doctorate </w:t>
      </w:r>
      <w:r>
        <w:rPr>
          <w:rFonts w:ascii="Arial" w:cs="Arial" w:eastAsia="Arial" w:hAnsi="Arial"/>
          <w:sz w:val="12"/>
          <w:szCs w:val="12"/>
          <w:color w:val="auto"/>
        </w:rPr>
        <w:t>(Harvard Law School)</w:t>
      </w:r>
    </w:p>
    <w:p>
      <w:pPr>
        <w:spacing w:after="0" w:line="131" w:lineRule="exact"/>
        <w:rPr>
          <w:sz w:val="20"/>
          <w:szCs w:val="20"/>
          <w:color w:val="auto"/>
        </w:rPr>
      </w:pPr>
    </w:p>
    <w:p>
      <w:pPr>
        <w:ind w:left="4280"/>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95885</wp:posOffset>
            </wp:positionV>
            <wp:extent cx="7183755" cy="18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2">
            <w:col w:w="1200" w:space="100"/>
            <w:col w:w="10000"/>
          </w:cols>
          <w:pgMar w:left="300" w:top="128" w:right="299" w:bottom="1440" w:gutter="0" w:footer="0" w:header="0"/>
          <w:type w:val="continuous"/>
        </w:sectPr>
      </w:pPr>
    </w:p>
    <w:bookmarkStart w:id="44" w:name="page45"/>
    <w:bookmarkEnd w:id="44"/>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87400" cy="25349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87400" cy="253492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E"/>
        </w:rPr>
        <w:t>W. Troy Rudd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 xml:space="preserve">Age: </w:t>
      </w:r>
      <w:r>
        <w:rPr>
          <w:rFonts w:ascii="Arial" w:cs="Arial" w:eastAsia="Arial" w:hAnsi="Arial"/>
          <w:sz w:val="12"/>
          <w:szCs w:val="12"/>
          <w:color w:val="FFFFFE"/>
        </w:rPr>
        <w:t>56</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E"/>
        </w:rPr>
        <w:t xml:space="preserve">Director Since: </w:t>
      </w:r>
      <w:r>
        <w:rPr>
          <w:rFonts w:ascii="Arial" w:cs="Arial" w:eastAsia="Arial" w:hAnsi="Arial"/>
          <w:sz w:val="11"/>
          <w:szCs w:val="11"/>
          <w:color w:val="FFFFFE"/>
        </w:rPr>
        <w:t>2020</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Mr. Rudd brings to our Board a critical vantagepoint as Chief Executive Officer of the Company and, accordingly, the director closest to the Company's day-to-day operations. Mr. Rudd has extensive executive experience in the professional services sector, finance, public company matters, international business, strategic planning, and mergers and acquisitions.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Business Experience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AECOM</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•Chief Executive Officer and Director (2020 - Present)</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•Chief Financial Officer (2015 - 2020)</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•Chief Operating Officer, Design Consulting Services ("DCS") Americas and Chief Financial Officer, DCS Global (2014 to 2015)</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•Senior Vice President, Corporate Finance and Treasurer (2012 - 2015)</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•Vice President, Financial Planning and Analysis (2009 - 2012)</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KPMG LLP </w:t>
      </w:r>
      <w:r>
        <w:rPr>
          <w:rFonts w:ascii="Arial" w:cs="Arial" w:eastAsia="Arial" w:hAnsi="Arial"/>
          <w:sz w:val="12"/>
          <w:szCs w:val="12"/>
          <w:color w:val="auto"/>
        </w:rPr>
        <w:t>(1998-2009)</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•Partner</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Public Boards</w:t>
      </w:r>
    </w:p>
    <w:p>
      <w:pPr>
        <w:spacing w:after="0" w:line="137" w:lineRule="exact"/>
        <w:rPr>
          <w:sz w:val="20"/>
          <w:szCs w:val="20"/>
          <w:color w:val="auto"/>
        </w:rPr>
      </w:pPr>
    </w:p>
    <w:p>
      <w:pPr>
        <w:sectPr>
          <w:pgSz w:w="11900" w:h="16838" w:orient="portrait"/>
          <w:cols w:equalWidth="0" w:num="2">
            <w:col w:w="1200" w:space="100"/>
            <w:col w:w="10000"/>
          </w:cols>
          <w:pgMar w:left="300" w:top="12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E"/>
        </w:rPr>
        <w:t>Clarence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787400" cy="2193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87400" cy="21932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b w:val="1"/>
          <w:bCs w:val="1"/>
          <w:color w:val="FFFFFE"/>
        </w:rPr>
        <w:t>Schmitz</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 xml:space="preserve">Age: </w:t>
      </w:r>
      <w:r>
        <w:rPr>
          <w:rFonts w:ascii="Arial" w:cs="Arial" w:eastAsia="Arial" w:hAnsi="Arial"/>
          <w:sz w:val="12"/>
          <w:szCs w:val="12"/>
          <w:color w:val="FFFFFE"/>
        </w:rPr>
        <w:t>72</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E"/>
        </w:rPr>
        <w:t xml:space="preserve">Director Since: </w:t>
      </w:r>
      <w:r>
        <w:rPr>
          <w:rFonts w:ascii="Arial" w:cs="Arial" w:eastAsia="Arial" w:hAnsi="Arial"/>
          <w:sz w:val="11"/>
          <w:szCs w:val="11"/>
          <w:color w:val="FFFFFE"/>
        </w:rPr>
        <w:t>2014</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Board Committee:</w:t>
      </w:r>
    </w:p>
    <w:p>
      <w:pPr>
        <w:spacing w:after="0" w:line="13" w:lineRule="exact"/>
        <w:rPr>
          <w:sz w:val="20"/>
          <w:szCs w:val="20"/>
          <w:color w:val="auto"/>
        </w:rPr>
      </w:pPr>
    </w:p>
    <w:p>
      <w:pPr>
        <w:ind w:left="140" w:hanging="74"/>
        <w:spacing w:after="0"/>
        <w:tabs>
          <w:tab w:leader="none" w:pos="140" w:val="left"/>
        </w:tabs>
        <w:numPr>
          <w:ilvl w:val="0"/>
          <w:numId w:val="19"/>
        </w:numPr>
        <w:rPr>
          <w:rFonts w:ascii="Arial" w:cs="Arial" w:eastAsia="Arial" w:hAnsi="Arial"/>
          <w:sz w:val="12"/>
          <w:szCs w:val="12"/>
          <w:color w:val="FFFFFE"/>
        </w:rPr>
      </w:pPr>
      <w:r>
        <w:rPr>
          <w:rFonts w:ascii="Arial" w:cs="Arial" w:eastAsia="Arial" w:hAnsi="Arial"/>
          <w:sz w:val="12"/>
          <w:szCs w:val="12"/>
          <w:color w:val="FFFFFE"/>
        </w:rPr>
        <w:t>Audit (Chair)</w:t>
      </w:r>
    </w:p>
    <w:p>
      <w:pPr>
        <w:ind w:left="60" w:right="60" w:firstLine="6"/>
        <w:spacing w:after="0" w:line="250" w:lineRule="auto"/>
        <w:tabs>
          <w:tab w:leader="none" w:pos="134" w:val="left"/>
        </w:tabs>
        <w:numPr>
          <w:ilvl w:val="0"/>
          <w:numId w:val="19"/>
        </w:numPr>
        <w:rPr>
          <w:rFonts w:ascii="Arial" w:cs="Arial" w:eastAsia="Arial" w:hAnsi="Arial"/>
          <w:sz w:val="12"/>
          <w:szCs w:val="12"/>
          <w:color w:val="FFFFFE"/>
        </w:rPr>
      </w:pPr>
      <w:r>
        <w:rPr>
          <w:rFonts w:ascii="Arial" w:cs="Arial" w:eastAsia="Arial" w:hAnsi="Arial"/>
          <w:sz w:val="12"/>
          <w:szCs w:val="12"/>
          <w:color w:val="FFFFFE"/>
        </w:rPr>
        <w:t>Compensation and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i w:val="1"/>
          <w:iCs w:val="1"/>
          <w:color w:val="auto"/>
        </w:rPr>
        <w:t xml:space="preserve">AECOM </w:t>
      </w:r>
      <w:r>
        <w:rPr>
          <w:rFonts w:ascii="Arial" w:cs="Arial" w:eastAsia="Arial" w:hAnsi="Arial"/>
          <w:sz w:val="12"/>
          <w:szCs w:val="12"/>
          <w:color w:val="auto"/>
        </w:rPr>
        <w:t>(2020 - Present)</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Education</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Bachelor of Science </w:t>
      </w:r>
      <w:r>
        <w:rPr>
          <w:rFonts w:ascii="Arial" w:cs="Arial" w:eastAsia="Arial" w:hAnsi="Arial"/>
          <w:sz w:val="12"/>
          <w:szCs w:val="12"/>
          <w:color w:val="auto"/>
        </w:rPr>
        <w:t>(University of British Columbia)</w:t>
      </w:r>
    </w:p>
    <w:p>
      <w:pPr>
        <w:spacing w:after="0"/>
        <w:rPr>
          <w:sz w:val="20"/>
          <w:szCs w:val="20"/>
          <w:color w:val="auto"/>
        </w:rPr>
      </w:pPr>
      <w:r>
        <w:rPr>
          <w:rFonts w:ascii="Arial" w:cs="Arial" w:eastAsia="Arial" w:hAnsi="Arial"/>
          <w:sz w:val="12"/>
          <w:szCs w:val="12"/>
          <w:i w:val="1"/>
          <w:iCs w:val="1"/>
          <w:color w:val="auto"/>
        </w:rPr>
        <w:t xml:space="preserve">Master of Science, Taxation </w:t>
      </w:r>
      <w:r>
        <w:rPr>
          <w:rFonts w:ascii="Arial" w:cs="Arial" w:eastAsia="Arial" w:hAnsi="Arial"/>
          <w:sz w:val="12"/>
          <w:szCs w:val="12"/>
          <w:color w:val="auto"/>
        </w:rPr>
        <w:t>(Golden Gate University)</w:t>
      </w:r>
    </w:p>
    <w:p>
      <w:pPr>
        <w:spacing w:after="0" w:line="121" w:lineRule="exact"/>
        <w:rPr>
          <w:sz w:val="20"/>
          <w:szCs w:val="20"/>
          <w:color w:val="auto"/>
        </w:rPr>
      </w:pPr>
    </w:p>
    <w:p>
      <w:pPr>
        <w:ind w:right="20"/>
        <w:spacing w:after="0" w:line="274" w:lineRule="auto"/>
        <w:rPr>
          <w:sz w:val="20"/>
          <w:szCs w:val="20"/>
          <w:color w:val="auto"/>
        </w:rPr>
      </w:pPr>
      <w:r>
        <w:rPr>
          <w:rFonts w:ascii="Arial" w:cs="Arial" w:eastAsia="Arial" w:hAnsi="Arial"/>
          <w:sz w:val="12"/>
          <w:szCs w:val="12"/>
          <w:color w:val="auto"/>
        </w:rPr>
        <w:t>Mr. Schmitz brings to our Board an extensive career in the professional services industry that spans four decades, with significant financial and global experience as an executive and board member, including service as National Managing Partner of KPMG LLP.</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Business Experience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Outsource Partners International Inc.</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•Chairman, Co-Founder and Chief Executive Officer (2000 - 2011)</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Jefferies Group Inc.</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•Executive Vice President and Chief Financial Officer (1995 - 2000)</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KPMG LLP</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•National Managing Partner (1970 - 1995)</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Private Boards and Community Service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KPMG LLP, Board of Directors </w:t>
      </w:r>
      <w:r>
        <w:rPr>
          <w:rFonts w:ascii="Arial" w:cs="Arial" w:eastAsia="Arial" w:hAnsi="Arial"/>
          <w:sz w:val="12"/>
          <w:szCs w:val="12"/>
          <w:color w:val="auto"/>
        </w:rPr>
        <w:t>(1990 - 1994)</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CureSearch for Children's Cancer, Chairman of Board of Trustees</w:t>
      </w:r>
    </w:p>
    <w:p>
      <w:pPr>
        <w:spacing w:after="0"/>
        <w:rPr>
          <w:sz w:val="20"/>
          <w:szCs w:val="20"/>
          <w:color w:val="auto"/>
        </w:rPr>
      </w:pPr>
      <w:r>
        <w:rPr>
          <w:rFonts w:ascii="Arial" w:cs="Arial" w:eastAsia="Arial" w:hAnsi="Arial"/>
          <w:sz w:val="12"/>
          <w:szCs w:val="12"/>
          <w:i w:val="1"/>
          <w:iCs w:val="1"/>
          <w:color w:val="auto"/>
        </w:rPr>
        <w:t>The City of Hope, Board of Trustees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Education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Bachelor of Science, Accounting </w:t>
      </w:r>
      <w:r>
        <w:rPr>
          <w:rFonts w:ascii="Arial" w:cs="Arial" w:eastAsia="Arial" w:hAnsi="Arial"/>
          <w:sz w:val="12"/>
          <w:szCs w:val="12"/>
          <w:color w:val="auto"/>
        </w:rPr>
        <w:t>(Case Western Reserve University)</w:t>
      </w:r>
    </w:p>
    <w:p>
      <w:pPr>
        <w:spacing w:after="0" w:line="131" w:lineRule="exact"/>
        <w:rPr>
          <w:sz w:val="20"/>
          <w:szCs w:val="20"/>
          <w:color w:val="auto"/>
        </w:rPr>
      </w:pPr>
    </w:p>
    <w:p>
      <w:pPr>
        <w:ind w:left="4280"/>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95885</wp:posOffset>
            </wp:positionV>
            <wp:extent cx="7183755" cy="18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2">
            <w:col w:w="1200" w:space="100"/>
            <w:col w:w="10000"/>
          </w:cols>
          <w:pgMar w:left="300" w:top="128" w:right="299" w:bottom="1440" w:gutter="0" w:footer="0" w:header="0"/>
          <w:type w:val="continuous"/>
        </w:sectPr>
      </w:pPr>
    </w:p>
    <w:bookmarkStart w:id="45" w:name="page46"/>
    <w:bookmarkEnd w:id="45"/>
    <w:p>
      <w:pPr>
        <w:spacing w:after="0"/>
        <w:rPr>
          <w:rFonts w:ascii="Arial" w:cs="Arial" w:eastAsia="Arial" w:hAnsi="Arial"/>
          <w:sz w:val="11"/>
          <w:szCs w:val="11"/>
          <w:u w:val="single" w:color="auto"/>
          <w:color w:val="0000EE"/>
        </w:rPr>
      </w:pPr>
      <w:hyperlink w:anchor="page24">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87400" cy="27146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87400" cy="2714625"/>
                    </a:xfrm>
                    <a:prstGeom prst="rect">
                      <a:avLst/>
                    </a:prstGeom>
                    <a:noFill/>
                  </pic:spPr>
                </pic:pic>
              </a:graphicData>
            </a:graphic>
          </wp:anchor>
        </w:drawing>
      </w:r>
    </w:p>
    <w:p>
      <w:pPr>
        <w:spacing w:after="0" w:line="260"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E"/>
        </w:rPr>
        <w:t>Douglas W.</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E"/>
        </w:rPr>
        <w:t>Stotlar</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 xml:space="preserve">Age: </w:t>
      </w:r>
      <w:r>
        <w:rPr>
          <w:rFonts w:ascii="Arial" w:cs="Arial" w:eastAsia="Arial" w:hAnsi="Arial"/>
          <w:sz w:val="12"/>
          <w:szCs w:val="12"/>
          <w:color w:val="FFFFFE"/>
        </w:rPr>
        <w:t>60</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right="20"/>
        <w:spacing w:after="0" w:line="274" w:lineRule="auto"/>
        <w:rPr>
          <w:sz w:val="20"/>
          <w:szCs w:val="20"/>
          <w:color w:val="auto"/>
        </w:rPr>
      </w:pPr>
      <w:r>
        <w:rPr>
          <w:rFonts w:ascii="Arial" w:cs="Arial" w:eastAsia="Arial" w:hAnsi="Arial"/>
          <w:sz w:val="12"/>
          <w:szCs w:val="12"/>
          <w:color w:val="auto"/>
        </w:rPr>
        <w:t>Mr. Stotlar brings to our Board substantial knowledge of the transportation sector. As a former Chief Executive Officer of a public company, Mr. Stotlar contributes valuable experience with corporate governance practices, labor and stockholder relations matters, as well as current legal and regulatory requirements and trends.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Business Experience</w:t>
      </w:r>
    </w:p>
    <w:p>
      <w:pPr>
        <w:spacing w:after="0" w:line="137" w:lineRule="exact"/>
        <w:rPr>
          <w:sz w:val="20"/>
          <w:szCs w:val="20"/>
          <w:color w:val="auto"/>
        </w:rPr>
      </w:pPr>
    </w:p>
    <w:p>
      <w:pPr>
        <w:sectPr>
          <w:pgSz w:w="11900" w:h="16838" w:orient="portrait"/>
          <w:cols w:equalWidth="0" w:num="2">
            <w:col w:w="920" w:space="380"/>
            <w:col w:w="10000"/>
          </w:cols>
          <w:pgMar w:left="300" w:top="128" w:right="299" w:bottom="1440" w:gutter="0" w:footer="0" w:header="0"/>
        </w:sectPr>
      </w:pPr>
    </w:p>
    <w:tbl>
      <w:tblPr>
        <w:tblLayout w:type="fixed"/>
        <w:tblInd w:w="60" w:type="dxa"/>
        <w:tblCellMar>
          <w:top w:w="0" w:type="dxa"/>
          <w:left w:w="0" w:type="dxa"/>
          <w:bottom w:w="0" w:type="dxa"/>
          <w:right w:w="0" w:type="dxa"/>
        </w:tblCellMar>
      </w:tblPr>
      <w:tr>
        <w:trPr>
          <w:trHeight w:val="265"/>
        </w:trPr>
        <w:tc>
          <w:tcPr>
            <w:tcW w:w="1240" w:type="dxa"/>
            <w:vAlign w:val="bottom"/>
          </w:tcPr>
          <w:p>
            <w:pPr>
              <w:spacing w:after="0"/>
              <w:rPr>
                <w:sz w:val="20"/>
                <w:szCs w:val="20"/>
                <w:color w:val="auto"/>
              </w:rPr>
            </w:pPr>
            <w:r>
              <w:rPr>
                <w:rFonts w:ascii="Arial" w:cs="Arial" w:eastAsia="Arial" w:hAnsi="Arial"/>
                <w:sz w:val="12"/>
                <w:szCs w:val="12"/>
                <w:b w:val="1"/>
                <w:bCs w:val="1"/>
                <w:color w:val="FFFFFE"/>
              </w:rPr>
              <w:t xml:space="preserve">Director Since: </w:t>
            </w:r>
            <w:r>
              <w:rPr>
                <w:rFonts w:ascii="Arial" w:cs="Arial" w:eastAsia="Arial" w:hAnsi="Arial"/>
                <w:sz w:val="12"/>
                <w:szCs w:val="12"/>
                <w:color w:val="FFFFFE"/>
              </w:rPr>
              <w:t>2014</w:t>
            </w:r>
          </w:p>
        </w:tc>
        <w:tc>
          <w:tcPr>
            <w:tcW w:w="3800" w:type="dxa"/>
            <w:vAlign w:val="bottom"/>
            <w:gridSpan w:val="2"/>
          </w:tcPr>
          <w:p>
            <w:pPr>
              <w:spacing w:after="0"/>
              <w:rPr>
                <w:sz w:val="20"/>
                <w:szCs w:val="20"/>
                <w:color w:val="auto"/>
              </w:rPr>
            </w:pPr>
            <w:r>
              <w:rPr>
                <w:rFonts w:ascii="Arial" w:cs="Arial" w:eastAsia="Arial" w:hAnsi="Arial"/>
                <w:sz w:val="12"/>
                <w:szCs w:val="12"/>
                <w:i w:val="1"/>
                <w:iCs w:val="1"/>
                <w:color w:val="auto"/>
              </w:rPr>
              <w:t>Con-way Inc.</w:t>
            </w:r>
          </w:p>
        </w:tc>
        <w:tc>
          <w:tcPr>
            <w:tcW w:w="0" w:type="dxa"/>
            <w:vAlign w:val="bottom"/>
          </w:tcPr>
          <w:p>
            <w:pPr>
              <w:spacing w:after="0"/>
              <w:rPr>
                <w:sz w:val="1"/>
                <w:szCs w:val="1"/>
                <w:color w:val="auto"/>
              </w:rPr>
            </w:pPr>
          </w:p>
        </w:tc>
      </w:tr>
      <w:tr>
        <w:trPr>
          <w:trHeight w:val="176"/>
        </w:trPr>
        <w:tc>
          <w:tcPr>
            <w:tcW w:w="1240" w:type="dxa"/>
            <w:vAlign w:val="bottom"/>
            <w:vMerge w:val="restart"/>
          </w:tcPr>
          <w:p>
            <w:pPr>
              <w:spacing w:after="0"/>
              <w:rPr>
                <w:sz w:val="20"/>
                <w:szCs w:val="20"/>
                <w:color w:val="auto"/>
              </w:rPr>
            </w:pPr>
            <w:r>
              <w:rPr>
                <w:rFonts w:ascii="Arial" w:cs="Arial" w:eastAsia="Arial" w:hAnsi="Arial"/>
                <w:sz w:val="12"/>
                <w:szCs w:val="12"/>
                <w:b w:val="1"/>
                <w:bCs w:val="1"/>
                <w:color w:val="FFFFFE"/>
              </w:rPr>
              <w:t>Board Committee:</w:t>
            </w:r>
          </w:p>
        </w:tc>
        <w:tc>
          <w:tcPr>
            <w:tcW w:w="3800" w:type="dxa"/>
            <w:vAlign w:val="bottom"/>
            <w:gridSpan w:val="2"/>
          </w:tcPr>
          <w:p>
            <w:pPr>
              <w:ind w:left="220"/>
              <w:spacing w:after="0"/>
              <w:rPr>
                <w:sz w:val="20"/>
                <w:szCs w:val="20"/>
                <w:color w:val="auto"/>
              </w:rPr>
            </w:pPr>
            <w:r>
              <w:rPr>
                <w:rFonts w:ascii="Arial" w:cs="Arial" w:eastAsia="Arial" w:hAnsi="Arial"/>
                <w:sz w:val="12"/>
                <w:szCs w:val="12"/>
                <w:color w:val="auto"/>
              </w:rPr>
              <w:t>•President, Chief Executive Officer and Director (2005 - 2015)</w:t>
            </w:r>
          </w:p>
        </w:tc>
        <w:tc>
          <w:tcPr>
            <w:tcW w:w="0" w:type="dxa"/>
            <w:vAlign w:val="bottom"/>
          </w:tcPr>
          <w:p>
            <w:pPr>
              <w:spacing w:after="0"/>
              <w:rPr>
                <w:sz w:val="1"/>
                <w:szCs w:val="1"/>
                <w:color w:val="auto"/>
              </w:rPr>
            </w:pPr>
          </w:p>
        </w:tc>
      </w:tr>
      <w:tr>
        <w:trPr>
          <w:trHeight w:val="78"/>
        </w:trPr>
        <w:tc>
          <w:tcPr>
            <w:tcW w:w="12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3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240" w:type="dxa"/>
            <w:vAlign w:val="bottom"/>
          </w:tcPr>
          <w:p>
            <w:pPr>
              <w:spacing w:after="0"/>
              <w:rPr>
                <w:sz w:val="20"/>
                <w:szCs w:val="20"/>
                <w:color w:val="auto"/>
              </w:rPr>
            </w:pPr>
            <w:r>
              <w:rPr>
                <w:rFonts w:ascii="Arial" w:cs="Arial" w:eastAsia="Arial" w:hAnsi="Arial"/>
                <w:sz w:val="12"/>
                <w:szCs w:val="12"/>
                <w:color w:val="FFFFFE"/>
              </w:rPr>
              <w:t>• Nominating and</w:t>
            </w:r>
          </w:p>
        </w:tc>
        <w:tc>
          <w:tcPr>
            <w:tcW w:w="3800" w:type="dxa"/>
            <w:vAlign w:val="bottom"/>
            <w:gridSpan w:val="2"/>
          </w:tcPr>
          <w:p>
            <w:pPr>
              <w:spacing w:after="0"/>
              <w:rPr>
                <w:sz w:val="20"/>
                <w:szCs w:val="20"/>
                <w:color w:val="auto"/>
              </w:rPr>
            </w:pPr>
            <w:r>
              <w:rPr>
                <w:rFonts w:ascii="Arial" w:cs="Arial" w:eastAsia="Arial" w:hAnsi="Arial"/>
                <w:sz w:val="12"/>
                <w:szCs w:val="12"/>
                <w:i w:val="1"/>
                <w:iCs w:val="1"/>
                <w:color w:val="auto"/>
              </w:rPr>
              <w:t>Con-way Transportation Services Inc.</w:t>
            </w:r>
          </w:p>
        </w:tc>
        <w:tc>
          <w:tcPr>
            <w:tcW w:w="0" w:type="dxa"/>
            <w:vAlign w:val="bottom"/>
          </w:tcPr>
          <w:p>
            <w:pPr>
              <w:spacing w:after="0"/>
              <w:rPr>
                <w:sz w:val="1"/>
                <w:szCs w:val="1"/>
                <w:color w:val="auto"/>
              </w:rPr>
            </w:pPr>
          </w:p>
        </w:tc>
      </w:tr>
      <w:tr>
        <w:trPr>
          <w:trHeight w:val="116"/>
        </w:trPr>
        <w:tc>
          <w:tcPr>
            <w:tcW w:w="1240" w:type="dxa"/>
            <w:vAlign w:val="bottom"/>
          </w:tcPr>
          <w:p>
            <w:pPr>
              <w:spacing w:after="0" w:line="116" w:lineRule="exact"/>
              <w:rPr>
                <w:sz w:val="20"/>
                <w:szCs w:val="20"/>
                <w:color w:val="auto"/>
              </w:rPr>
            </w:pPr>
            <w:r>
              <w:rPr>
                <w:rFonts w:ascii="Arial" w:cs="Arial" w:eastAsia="Arial" w:hAnsi="Arial"/>
                <w:sz w:val="12"/>
                <w:szCs w:val="12"/>
                <w:color w:val="FFFFFE"/>
              </w:rPr>
              <w:t>Governance (Chair)</w:t>
            </w:r>
          </w:p>
        </w:tc>
        <w:tc>
          <w:tcPr>
            <w:tcW w:w="8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20"/>
                <w:szCs w:val="20"/>
                <w:color w:val="auto"/>
              </w:rPr>
            </w:pPr>
            <w:r>
              <w:rPr>
                <w:rFonts w:ascii="Arial" w:cs="Arial" w:eastAsia="Arial" w:hAnsi="Arial"/>
                <w:sz w:val="12"/>
                <w:szCs w:val="12"/>
                <w:color w:val="FFFFFE"/>
              </w:rPr>
              <w:t>• Audit</w:t>
            </w:r>
          </w:p>
        </w:tc>
        <w:tc>
          <w:tcPr>
            <w:tcW w:w="3800" w:type="dxa"/>
            <w:vAlign w:val="bottom"/>
            <w:gridSpan w:val="2"/>
          </w:tcPr>
          <w:p>
            <w:pPr>
              <w:ind w:left="220"/>
              <w:spacing w:after="0"/>
              <w:rPr>
                <w:sz w:val="20"/>
                <w:szCs w:val="20"/>
                <w:color w:val="auto"/>
              </w:rPr>
            </w:pPr>
            <w:r>
              <w:rPr>
                <w:rFonts w:ascii="Arial" w:cs="Arial" w:eastAsia="Arial" w:hAnsi="Arial"/>
                <w:sz w:val="12"/>
                <w:szCs w:val="12"/>
                <w:color w:val="auto"/>
              </w:rPr>
              <w:t>•President and Chief Executive Officer (2004 - 2005)</w:t>
            </w:r>
          </w:p>
        </w:tc>
        <w:tc>
          <w:tcPr>
            <w:tcW w:w="0" w:type="dxa"/>
            <w:vAlign w:val="bottom"/>
          </w:tcPr>
          <w:p>
            <w:pPr>
              <w:spacing w:after="0"/>
              <w:rPr>
                <w:sz w:val="1"/>
                <w:szCs w:val="1"/>
                <w:color w:val="auto"/>
              </w:rPr>
            </w:pPr>
          </w:p>
        </w:tc>
      </w:tr>
      <w:tr>
        <w:trPr>
          <w:trHeight w:val="273"/>
        </w:trPr>
        <w:tc>
          <w:tcPr>
            <w:tcW w:w="1240" w:type="dxa"/>
            <w:vAlign w:val="bottom"/>
          </w:tcPr>
          <w:p>
            <w:pPr>
              <w:spacing w:after="0"/>
              <w:rPr>
                <w:sz w:val="23"/>
                <w:szCs w:val="23"/>
                <w:color w:val="auto"/>
              </w:rPr>
            </w:pPr>
          </w:p>
        </w:tc>
        <w:tc>
          <w:tcPr>
            <w:tcW w:w="3800" w:type="dxa"/>
            <w:vAlign w:val="bottom"/>
            <w:gridSpan w:val="2"/>
          </w:tcPr>
          <w:p>
            <w:pPr>
              <w:ind w:left="220"/>
              <w:spacing w:after="0"/>
              <w:rPr>
                <w:sz w:val="20"/>
                <w:szCs w:val="20"/>
                <w:color w:val="auto"/>
              </w:rPr>
            </w:pPr>
            <w:r>
              <w:rPr>
                <w:rFonts w:ascii="Arial" w:cs="Arial" w:eastAsia="Arial" w:hAnsi="Arial"/>
                <w:sz w:val="12"/>
                <w:szCs w:val="12"/>
                <w:color w:val="auto"/>
                <w:w w:val="98"/>
              </w:rPr>
              <w:t>•Executive Vice President and Chief Operating Officer (2002 - 2004)</w:t>
            </w:r>
          </w:p>
        </w:tc>
        <w:tc>
          <w:tcPr>
            <w:tcW w:w="0" w:type="dxa"/>
            <w:vAlign w:val="bottom"/>
          </w:tcPr>
          <w:p>
            <w:pPr>
              <w:spacing w:after="0"/>
              <w:rPr>
                <w:sz w:val="1"/>
                <w:szCs w:val="1"/>
                <w:color w:val="auto"/>
              </w:rPr>
            </w:pPr>
          </w:p>
        </w:tc>
      </w:tr>
      <w:tr>
        <w:trPr>
          <w:trHeight w:val="273"/>
        </w:trPr>
        <w:tc>
          <w:tcPr>
            <w:tcW w:w="1240" w:type="dxa"/>
            <w:vAlign w:val="bottom"/>
          </w:tcPr>
          <w:p>
            <w:pPr>
              <w:spacing w:after="0"/>
              <w:rPr>
                <w:sz w:val="23"/>
                <w:szCs w:val="23"/>
                <w:color w:val="auto"/>
              </w:rPr>
            </w:pPr>
          </w:p>
        </w:tc>
        <w:tc>
          <w:tcPr>
            <w:tcW w:w="3800" w:type="dxa"/>
            <w:vAlign w:val="bottom"/>
            <w:gridSpan w:val="2"/>
          </w:tcPr>
          <w:p>
            <w:pPr>
              <w:ind w:left="220"/>
              <w:spacing w:after="0"/>
              <w:rPr>
                <w:sz w:val="20"/>
                <w:szCs w:val="20"/>
                <w:color w:val="auto"/>
              </w:rPr>
            </w:pPr>
            <w:r>
              <w:rPr>
                <w:rFonts w:ascii="Arial" w:cs="Arial" w:eastAsia="Arial" w:hAnsi="Arial"/>
                <w:sz w:val="12"/>
                <w:szCs w:val="12"/>
                <w:color w:val="auto"/>
              </w:rPr>
              <w:t>•Executive Vice President of Operations (1997 - 2002)</w:t>
            </w: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Arial" w:cs="Arial" w:eastAsia="Arial" w:hAnsi="Arial"/>
                <w:sz w:val="12"/>
                <w:szCs w:val="12"/>
                <w:b w:val="1"/>
                <w:bCs w:val="1"/>
                <w:color w:val="00B2E5"/>
              </w:rPr>
              <w:t>Public Boards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00" w:type="dxa"/>
            <w:vAlign w:val="bottom"/>
            <w:shd w:val="clear" w:color="auto" w:fill="00B2E5"/>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240" w:type="dxa"/>
            <w:vAlign w:val="bottom"/>
          </w:tcPr>
          <w:p>
            <w:pPr>
              <w:spacing w:after="0"/>
              <w:rPr>
                <w:sz w:val="22"/>
                <w:szCs w:val="22"/>
                <w:color w:val="auto"/>
              </w:rPr>
            </w:pPr>
          </w:p>
        </w:tc>
        <w:tc>
          <w:tcPr>
            <w:tcW w:w="3800" w:type="dxa"/>
            <w:vAlign w:val="bottom"/>
            <w:gridSpan w:val="2"/>
          </w:tcPr>
          <w:p>
            <w:pPr>
              <w:spacing w:after="0"/>
              <w:rPr>
                <w:sz w:val="20"/>
                <w:szCs w:val="20"/>
                <w:color w:val="auto"/>
              </w:rPr>
            </w:pPr>
            <w:r>
              <w:rPr>
                <w:rFonts w:ascii="Arial" w:cs="Arial" w:eastAsia="Arial" w:hAnsi="Arial"/>
                <w:sz w:val="12"/>
                <w:szCs w:val="12"/>
                <w:i w:val="1"/>
                <w:iCs w:val="1"/>
                <w:color w:val="auto"/>
              </w:rPr>
              <w:t xml:space="preserve">Reliance Steel &amp; Aluminum Co. </w:t>
            </w:r>
            <w:r>
              <w:rPr>
                <w:rFonts w:ascii="Arial" w:cs="Arial" w:eastAsia="Arial" w:hAnsi="Arial"/>
                <w:sz w:val="12"/>
                <w:szCs w:val="12"/>
                <w:color w:val="auto"/>
              </w:rPr>
              <w:t>(2016 - Present)</w:t>
            </w:r>
          </w:p>
        </w:tc>
        <w:tc>
          <w:tcPr>
            <w:tcW w:w="0" w:type="dxa"/>
            <w:vAlign w:val="bottom"/>
          </w:tcPr>
          <w:p>
            <w:pPr>
              <w:spacing w:after="0"/>
              <w:rPr>
                <w:sz w:val="1"/>
                <w:szCs w:val="1"/>
                <w:color w:val="auto"/>
              </w:rPr>
            </w:pPr>
          </w:p>
        </w:tc>
      </w:tr>
      <w:tr>
        <w:trPr>
          <w:trHeight w:val="137"/>
        </w:trPr>
        <w:tc>
          <w:tcPr>
            <w:tcW w:w="1240" w:type="dxa"/>
            <w:vAlign w:val="bottom"/>
          </w:tcPr>
          <w:p>
            <w:pPr>
              <w:spacing w:after="0"/>
              <w:rPr>
                <w:sz w:val="11"/>
                <w:szCs w:val="11"/>
                <w:color w:val="auto"/>
              </w:rPr>
            </w:pPr>
          </w:p>
        </w:tc>
        <w:tc>
          <w:tcPr>
            <w:tcW w:w="3800" w:type="dxa"/>
            <w:vAlign w:val="bottom"/>
            <w:gridSpan w:val="2"/>
          </w:tcPr>
          <w:p>
            <w:pPr>
              <w:spacing w:after="0" w:line="137" w:lineRule="exact"/>
              <w:rPr>
                <w:sz w:val="20"/>
                <w:szCs w:val="20"/>
                <w:color w:val="auto"/>
              </w:rPr>
            </w:pPr>
            <w:r>
              <w:rPr>
                <w:rFonts w:ascii="Arial" w:cs="Arial" w:eastAsia="Arial" w:hAnsi="Arial"/>
                <w:sz w:val="12"/>
                <w:szCs w:val="12"/>
                <w:i w:val="1"/>
                <w:iCs w:val="1"/>
                <w:color w:val="auto"/>
              </w:rPr>
              <w:t xml:space="preserve">LSC Communications, Inc. </w:t>
            </w:r>
            <w:r>
              <w:rPr>
                <w:rFonts w:ascii="Arial" w:cs="Arial" w:eastAsia="Arial" w:hAnsi="Arial"/>
                <w:sz w:val="12"/>
                <w:szCs w:val="12"/>
                <w:color w:val="auto"/>
              </w:rPr>
              <w:t>(2016 - Present)</w:t>
            </w:r>
          </w:p>
        </w:tc>
        <w:tc>
          <w:tcPr>
            <w:tcW w:w="0" w:type="dxa"/>
            <w:vAlign w:val="bottom"/>
          </w:tcPr>
          <w:p>
            <w:pPr>
              <w:spacing w:after="0"/>
              <w:rPr>
                <w:sz w:val="1"/>
                <w:szCs w:val="1"/>
                <w:color w:val="auto"/>
              </w:rPr>
            </w:pPr>
          </w:p>
        </w:tc>
      </w:tr>
      <w:tr>
        <w:trPr>
          <w:trHeight w:val="159"/>
        </w:trPr>
        <w:tc>
          <w:tcPr>
            <w:tcW w:w="1240" w:type="dxa"/>
            <w:vAlign w:val="bottom"/>
          </w:tcPr>
          <w:p>
            <w:pPr>
              <w:spacing w:after="0"/>
              <w:rPr>
                <w:sz w:val="13"/>
                <w:szCs w:val="13"/>
                <w:color w:val="auto"/>
              </w:rPr>
            </w:pPr>
          </w:p>
        </w:tc>
        <w:tc>
          <w:tcPr>
            <w:tcW w:w="3800" w:type="dxa"/>
            <w:vAlign w:val="bottom"/>
            <w:gridSpan w:val="2"/>
          </w:tcPr>
          <w:p>
            <w:pPr>
              <w:spacing w:after="0"/>
              <w:rPr>
                <w:sz w:val="20"/>
                <w:szCs w:val="20"/>
                <w:color w:val="auto"/>
              </w:rPr>
            </w:pPr>
            <w:r>
              <w:rPr>
                <w:rFonts w:ascii="Arial" w:cs="Arial" w:eastAsia="Arial" w:hAnsi="Arial"/>
                <w:sz w:val="12"/>
                <w:szCs w:val="12"/>
                <w:i w:val="1"/>
                <w:iCs w:val="1"/>
                <w:color w:val="auto"/>
              </w:rPr>
              <w:t xml:space="preserve">URS Corporation </w:t>
            </w:r>
            <w:r>
              <w:rPr>
                <w:rFonts w:ascii="Arial" w:cs="Arial" w:eastAsia="Arial" w:hAnsi="Arial"/>
                <w:sz w:val="12"/>
                <w:szCs w:val="12"/>
                <w:color w:val="auto"/>
              </w:rPr>
              <w:t>(2007 - 2014)</w:t>
            </w: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300"/>
          </w:cols>
          <w:pgMar w:left="300" w:top="128"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E"/>
        </w:rPr>
        <w:t>Daniel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787400" cy="23672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87400" cy="2367280"/>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b w:val="1"/>
          <w:bCs w:val="1"/>
          <w:color w:val="FFFFFE"/>
        </w:rPr>
        <w:t>Tishman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 xml:space="preserve">Age: </w:t>
      </w:r>
      <w:r>
        <w:rPr>
          <w:rFonts w:ascii="Arial" w:cs="Arial" w:eastAsia="Arial" w:hAnsi="Arial"/>
          <w:sz w:val="12"/>
          <w:szCs w:val="12"/>
          <w:color w:val="FFFFFE"/>
        </w:rPr>
        <w:t>65</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E"/>
        </w:rPr>
        <w:t xml:space="preserve">Director Since: </w:t>
      </w:r>
      <w:r>
        <w:rPr>
          <w:rFonts w:ascii="Arial" w:cs="Arial" w:eastAsia="Arial" w:hAnsi="Arial"/>
          <w:sz w:val="11"/>
          <w:szCs w:val="11"/>
          <w:color w:val="FFFFFE"/>
        </w:rPr>
        <w:t>2010</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Board Committee:</w:t>
      </w:r>
    </w:p>
    <w:p>
      <w:pPr>
        <w:spacing w:after="0" w:line="15" w:lineRule="exact"/>
        <w:rPr>
          <w:sz w:val="20"/>
          <w:szCs w:val="20"/>
          <w:color w:val="auto"/>
        </w:rPr>
      </w:pPr>
    </w:p>
    <w:p>
      <w:pPr>
        <w:ind w:left="60" w:right="200" w:firstLine="6"/>
        <w:spacing w:after="0" w:line="295" w:lineRule="auto"/>
        <w:tabs>
          <w:tab w:leader="none" w:pos="134" w:val="left"/>
        </w:tabs>
        <w:numPr>
          <w:ilvl w:val="0"/>
          <w:numId w:val="20"/>
        </w:numPr>
        <w:rPr>
          <w:rFonts w:ascii="Arial" w:cs="Arial" w:eastAsia="Arial" w:hAnsi="Arial"/>
          <w:sz w:val="11"/>
          <w:szCs w:val="11"/>
          <w:color w:val="FFFFFE"/>
        </w:rPr>
      </w:pPr>
      <w:r>
        <w:rPr>
          <w:rFonts w:ascii="Arial" w:cs="Arial" w:eastAsia="Arial" w:hAnsi="Arial"/>
          <w:sz w:val="11"/>
          <w:szCs w:val="11"/>
          <w:color w:val="FFFFFE"/>
        </w:rPr>
        <w:t>Safety, Risk and Sustainability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00B2E5"/>
        </w:rPr>
        <w:t>Private Board and Community Service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Grieve Well </w:t>
      </w:r>
      <w:r>
        <w:rPr>
          <w:rFonts w:ascii="Arial" w:cs="Arial" w:eastAsia="Arial" w:hAnsi="Arial"/>
          <w:sz w:val="12"/>
          <w:szCs w:val="12"/>
          <w:color w:val="auto"/>
        </w:rPr>
        <w:t>(2009 - Present)</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Mauser Packaging Solutions </w:t>
      </w:r>
      <w:r>
        <w:rPr>
          <w:rFonts w:ascii="Arial" w:cs="Arial" w:eastAsia="Arial" w:hAnsi="Arial"/>
          <w:sz w:val="12"/>
          <w:szCs w:val="12"/>
          <w:color w:val="auto"/>
        </w:rPr>
        <w:t>(2017 - Present)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Education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Bachelor of Science, Business </w:t>
      </w:r>
      <w:r>
        <w:rPr>
          <w:rFonts w:ascii="Arial" w:cs="Arial" w:eastAsia="Arial" w:hAnsi="Arial"/>
          <w:sz w:val="12"/>
          <w:szCs w:val="12"/>
          <w:color w:val="auto"/>
        </w:rPr>
        <w:t>(The Ohio State University)</w:t>
      </w:r>
    </w:p>
    <w:p>
      <w:pPr>
        <w:spacing w:after="0" w:line="121"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Mr. Tishman brings to our Board extensive knowledge, management, business and operational experience in the construction management industry and on large-scale development projects such as the rebuilding of the World Trade Center site in New York City and other major projects.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Business Experience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Tishman Holdings Corporation</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•Chairman and Executive Vice President (1997 - Present)</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Tishman Construction Corporation</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•Chairman of the Board and Chief Executive Officer (1991 - 2010)</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AECOM</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•Vice-Chairman (2010 - 2018)</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Private Boards and Community Service</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NexWave Capital Partners LLC </w:t>
      </w:r>
      <w:r>
        <w:rPr>
          <w:rFonts w:ascii="Arial" w:cs="Arial" w:eastAsia="Arial" w:hAnsi="Arial"/>
          <w:sz w:val="12"/>
          <w:szCs w:val="12"/>
          <w:color w:val="auto"/>
        </w:rPr>
        <w:t>(2008 - Present)</w:t>
      </w:r>
    </w:p>
    <w:p>
      <w:pPr>
        <w:spacing w:after="0" w:line="237" w:lineRule="auto"/>
        <w:rPr>
          <w:sz w:val="20"/>
          <w:szCs w:val="20"/>
          <w:color w:val="auto"/>
        </w:rPr>
      </w:pPr>
      <w:r>
        <w:rPr>
          <w:rFonts w:ascii="Arial" w:cs="Arial" w:eastAsia="Arial" w:hAnsi="Arial"/>
          <w:sz w:val="12"/>
          <w:szCs w:val="12"/>
          <w:i w:val="1"/>
          <w:iCs w:val="1"/>
          <w:color w:val="auto"/>
        </w:rPr>
        <w:t>Montefiore Medicine</w:t>
      </w:r>
      <w:r>
        <w:rPr>
          <w:rFonts w:ascii="Arial" w:cs="Arial" w:eastAsia="Arial" w:hAnsi="Arial"/>
          <w:sz w:val="12"/>
          <w:szCs w:val="12"/>
          <w:color w:val="auto"/>
        </w:rPr>
        <w:t>, Chairman of the Board of Trustees</w:t>
      </w:r>
    </w:p>
    <w:p>
      <w:pPr>
        <w:spacing w:after="0"/>
        <w:rPr>
          <w:sz w:val="20"/>
          <w:szCs w:val="20"/>
          <w:color w:val="auto"/>
        </w:rPr>
      </w:pPr>
      <w:r>
        <w:rPr>
          <w:rFonts w:ascii="Arial" w:cs="Arial" w:eastAsia="Arial" w:hAnsi="Arial"/>
          <w:sz w:val="12"/>
          <w:szCs w:val="12"/>
          <w:i w:val="1"/>
          <w:iCs w:val="1"/>
          <w:color w:val="auto"/>
        </w:rPr>
        <w:t>Real Estate Board of New York</w:t>
      </w:r>
    </w:p>
    <w:p>
      <w:pPr>
        <w:spacing w:after="0" w:line="237" w:lineRule="auto"/>
        <w:rPr>
          <w:sz w:val="20"/>
          <w:szCs w:val="20"/>
          <w:color w:val="auto"/>
        </w:rPr>
      </w:pPr>
      <w:r>
        <w:rPr>
          <w:rFonts w:ascii="Arial" w:cs="Arial" w:eastAsia="Arial" w:hAnsi="Arial"/>
          <w:sz w:val="12"/>
          <w:szCs w:val="12"/>
          <w:i w:val="1"/>
          <w:iCs w:val="1"/>
          <w:color w:val="auto"/>
        </w:rPr>
        <w:t>Natural Resources Defense Council</w:t>
      </w:r>
    </w:p>
    <w:p>
      <w:pPr>
        <w:spacing w:after="0"/>
        <w:rPr>
          <w:sz w:val="20"/>
          <w:szCs w:val="20"/>
          <w:color w:val="auto"/>
        </w:rPr>
      </w:pPr>
      <w:r>
        <w:rPr>
          <w:rFonts w:ascii="Arial" w:cs="Arial" w:eastAsia="Arial" w:hAnsi="Arial"/>
          <w:sz w:val="12"/>
          <w:szCs w:val="12"/>
          <w:i w:val="1"/>
          <w:iCs w:val="1"/>
          <w:color w:val="auto"/>
        </w:rPr>
        <w:t>National September 11 Memorial &amp; Museum</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Education</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Bachelor of Science, Environmental and Biological Science </w:t>
      </w:r>
      <w:r>
        <w:rPr>
          <w:rFonts w:ascii="Arial" w:cs="Arial" w:eastAsia="Arial" w:hAnsi="Arial"/>
          <w:sz w:val="12"/>
          <w:szCs w:val="12"/>
          <w:color w:val="auto"/>
        </w:rPr>
        <w:t>(Evergreen State College)</w:t>
      </w:r>
    </w:p>
    <w:p>
      <w:pPr>
        <w:spacing w:after="0"/>
        <w:rPr>
          <w:sz w:val="20"/>
          <w:szCs w:val="20"/>
          <w:color w:val="auto"/>
        </w:rPr>
      </w:pPr>
      <w:r>
        <w:rPr>
          <w:rFonts w:ascii="Arial" w:cs="Arial" w:eastAsia="Arial" w:hAnsi="Arial"/>
          <w:sz w:val="12"/>
          <w:szCs w:val="12"/>
          <w:i w:val="1"/>
          <w:iCs w:val="1"/>
          <w:color w:val="auto"/>
        </w:rPr>
        <w:t xml:space="preserve">Master of Science, Environmental Education </w:t>
      </w:r>
      <w:r>
        <w:rPr>
          <w:rFonts w:ascii="Arial" w:cs="Arial" w:eastAsia="Arial" w:hAnsi="Arial"/>
          <w:sz w:val="12"/>
          <w:szCs w:val="12"/>
          <w:color w:val="auto"/>
        </w:rPr>
        <w:t>(Lesley College)</w:t>
      </w:r>
    </w:p>
    <w:p>
      <w:pPr>
        <w:spacing w:after="0" w:line="131" w:lineRule="exact"/>
        <w:rPr>
          <w:sz w:val="20"/>
          <w:szCs w:val="20"/>
          <w:color w:val="auto"/>
        </w:rPr>
      </w:pPr>
    </w:p>
    <w:p>
      <w:pPr>
        <w:ind w:left="4280"/>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95885</wp:posOffset>
            </wp:positionV>
            <wp:extent cx="7183755" cy="18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2">
            <w:col w:w="1200" w:space="100"/>
            <w:col w:w="10000"/>
          </w:cols>
          <w:pgMar w:left="300" w:top="128" w:right="299" w:bottom="1440" w:gutter="0" w:footer="0" w:header="0"/>
          <w:type w:val="continuous"/>
        </w:sectPr>
      </w:pPr>
    </w:p>
    <w:bookmarkStart w:id="46" w:name="page47"/>
    <w:bookmarkEnd w:id="46"/>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87400" cy="22745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87400" cy="2274570"/>
                    </a:xfrm>
                    <a:prstGeom prst="rect">
                      <a:avLst/>
                    </a:prstGeom>
                    <a:noFill/>
                  </pic:spPr>
                </pic:pic>
              </a:graphicData>
            </a:graphic>
          </wp:anchor>
        </w:drawing>
      </w:r>
    </w:p>
    <w:p>
      <w:pPr>
        <w:spacing w:after="0" w:line="249" w:lineRule="exact"/>
        <w:rPr>
          <w:sz w:val="20"/>
          <w:szCs w:val="20"/>
          <w:color w:val="auto"/>
        </w:rPr>
      </w:pPr>
    </w:p>
    <w:p>
      <w:pPr>
        <w:ind w:left="60" w:right="120"/>
        <w:spacing w:after="0" w:line="311" w:lineRule="auto"/>
        <w:rPr>
          <w:sz w:val="20"/>
          <w:szCs w:val="20"/>
          <w:color w:val="auto"/>
        </w:rPr>
      </w:pPr>
      <w:r>
        <w:rPr>
          <w:rFonts w:ascii="Arial" w:cs="Arial" w:eastAsia="Arial" w:hAnsi="Arial"/>
          <w:sz w:val="14"/>
          <w:szCs w:val="14"/>
          <w:b w:val="1"/>
          <w:bCs w:val="1"/>
          <w:color w:val="FFFFFE"/>
        </w:rPr>
        <w:t>Sander van't Noordende</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 xml:space="preserve">Age: </w:t>
      </w:r>
      <w:r>
        <w:rPr>
          <w:rFonts w:ascii="Arial" w:cs="Arial" w:eastAsia="Arial" w:hAnsi="Arial"/>
          <w:sz w:val="12"/>
          <w:szCs w:val="12"/>
          <w:color w:val="FFFFFE"/>
        </w:rPr>
        <w:t>57</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E"/>
        </w:rPr>
        <w:t>Director Nominee</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auto"/>
        </w:rPr>
        <w:t>Mr. van't Noordende brings to our Board deep leadership experience in the professional services sector, having served on Accenture's global management committee for 13 years.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Business Experience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Accenture</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•Products Operating Group, Group Chief Executive (2013 - 2020)</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•Management Consulting, Group Chief Executive (2011 - 2013)</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•Resources Operating Group, Group Chief Executive (2006 - 2011)</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•Various leadership roles (1987 - 2006)</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Public Boards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Micro Focus </w:t>
      </w:r>
      <w:r>
        <w:rPr>
          <w:rFonts w:ascii="Arial" w:cs="Arial" w:eastAsia="Arial" w:hAnsi="Arial"/>
          <w:sz w:val="12"/>
          <w:szCs w:val="12"/>
          <w:color w:val="auto"/>
        </w:rPr>
        <w:t>(2020 - Present)</w:t>
      </w:r>
    </w:p>
    <w:p>
      <w:pPr>
        <w:spacing w:after="0" w:line="143" w:lineRule="exact"/>
        <w:rPr>
          <w:sz w:val="20"/>
          <w:szCs w:val="20"/>
          <w:color w:val="auto"/>
        </w:rPr>
      </w:pPr>
    </w:p>
    <w:p>
      <w:pPr>
        <w:sectPr>
          <w:pgSz w:w="11900" w:h="16838" w:orient="portrait"/>
          <w:cols w:equalWidth="0" w:num="2">
            <w:col w:w="1060" w:space="240"/>
            <w:col w:w="10000"/>
          </w:cols>
          <w:pgMar w:left="300" w:top="12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E"/>
        </w:rPr>
        <w:t>Gen. Janet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787400" cy="27952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87400" cy="2795270"/>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b w:val="1"/>
          <w:bCs w:val="1"/>
          <w:color w:val="FFFFFE"/>
        </w:rPr>
        <w:t>Wolfenbarger,</w:t>
      </w:r>
    </w:p>
    <w:p>
      <w:pPr>
        <w:ind w:left="60"/>
        <w:spacing w:after="0"/>
        <w:rPr>
          <w:sz w:val="20"/>
          <w:szCs w:val="20"/>
          <w:color w:val="auto"/>
        </w:rPr>
      </w:pPr>
      <w:r>
        <w:rPr>
          <w:rFonts w:ascii="Arial" w:cs="Arial" w:eastAsia="Arial" w:hAnsi="Arial"/>
          <w:sz w:val="15"/>
          <w:szCs w:val="15"/>
          <w:b w:val="1"/>
          <w:bCs w:val="1"/>
          <w:color w:val="FFFFFE"/>
        </w:rPr>
        <w:t>USAF Retired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 xml:space="preserve">Age: </w:t>
      </w:r>
      <w:r>
        <w:rPr>
          <w:rFonts w:ascii="Arial" w:cs="Arial" w:eastAsia="Arial" w:hAnsi="Arial"/>
          <w:sz w:val="12"/>
          <w:szCs w:val="12"/>
          <w:color w:val="FFFFFE"/>
        </w:rPr>
        <w:t>62</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E"/>
        </w:rPr>
        <w:t xml:space="preserve">Director Since: </w:t>
      </w:r>
      <w:r>
        <w:rPr>
          <w:rFonts w:ascii="Arial" w:cs="Arial" w:eastAsia="Arial" w:hAnsi="Arial"/>
          <w:sz w:val="11"/>
          <w:szCs w:val="11"/>
          <w:color w:val="FFFFFE"/>
        </w:rPr>
        <w:t>2015</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FFFFFE"/>
        </w:rPr>
        <w:t>Board Committee:</w:t>
      </w:r>
    </w:p>
    <w:p>
      <w:pPr>
        <w:spacing w:after="0" w:line="15" w:lineRule="exact"/>
        <w:rPr>
          <w:sz w:val="20"/>
          <w:szCs w:val="20"/>
          <w:color w:val="auto"/>
        </w:rPr>
      </w:pPr>
    </w:p>
    <w:p>
      <w:pPr>
        <w:ind w:left="60" w:right="220" w:firstLine="6"/>
        <w:spacing w:after="0" w:line="237" w:lineRule="auto"/>
        <w:tabs>
          <w:tab w:leader="none" w:pos="134" w:val="left"/>
        </w:tabs>
        <w:numPr>
          <w:ilvl w:val="0"/>
          <w:numId w:val="21"/>
        </w:numPr>
        <w:rPr>
          <w:rFonts w:ascii="Arial" w:cs="Arial" w:eastAsia="Arial" w:hAnsi="Arial"/>
          <w:sz w:val="12"/>
          <w:szCs w:val="12"/>
          <w:color w:val="FFFFFE"/>
        </w:rPr>
      </w:pPr>
      <w:r>
        <w:rPr>
          <w:rFonts w:ascii="Arial" w:cs="Arial" w:eastAsia="Arial" w:hAnsi="Arial"/>
          <w:sz w:val="12"/>
          <w:szCs w:val="12"/>
          <w:color w:val="FFFFFE"/>
        </w:rPr>
        <w:t>Nominating and Governance</w:t>
      </w:r>
    </w:p>
    <w:p>
      <w:pPr>
        <w:ind w:left="60" w:right="200" w:firstLine="6"/>
        <w:spacing w:after="0" w:line="295" w:lineRule="auto"/>
        <w:tabs>
          <w:tab w:leader="none" w:pos="134" w:val="left"/>
        </w:tabs>
        <w:numPr>
          <w:ilvl w:val="0"/>
          <w:numId w:val="21"/>
        </w:numPr>
        <w:rPr>
          <w:rFonts w:ascii="Arial" w:cs="Arial" w:eastAsia="Arial" w:hAnsi="Arial"/>
          <w:sz w:val="11"/>
          <w:szCs w:val="11"/>
          <w:color w:val="FFFFFE"/>
        </w:rPr>
      </w:pPr>
      <w:r>
        <w:rPr>
          <w:rFonts w:ascii="Arial" w:cs="Arial" w:eastAsia="Arial" w:hAnsi="Arial"/>
          <w:sz w:val="11"/>
          <w:szCs w:val="11"/>
          <w:color w:val="FFFFFE"/>
        </w:rPr>
        <w:t>Safety, Risk and Sustainability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u w:val="single" w:color="auto"/>
          <w:color w:val="00B2E5"/>
        </w:rPr>
        <w:t>Private Board and Community Service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Out &amp; Equal </w:t>
      </w:r>
      <w:r>
        <w:rPr>
          <w:rFonts w:ascii="Arial" w:cs="Arial" w:eastAsia="Arial" w:hAnsi="Arial"/>
          <w:sz w:val="12"/>
          <w:szCs w:val="12"/>
          <w:color w:val="auto"/>
        </w:rPr>
        <w:t>(2016 - Present)</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Education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Master's Degree, Industrial Engineering and Management Science </w:t>
      </w:r>
      <w:r>
        <w:rPr>
          <w:rFonts w:ascii="Arial" w:cs="Arial" w:eastAsia="Arial" w:hAnsi="Arial"/>
          <w:sz w:val="12"/>
          <w:szCs w:val="12"/>
          <w:color w:val="auto"/>
        </w:rPr>
        <w:t>(Eindhoven University of Technology, Netherlands)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General Wolfenbarger brings to our Board a distinguished career as a senior leader in the military, including serving as the Air Force's first female four-star general. In addition to significant international experience, these qualifications provide our Board with valuable government-related expertise supportive of the company's global business operations and public-sector client roster.</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Public Service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Air Force Materiel Command, Wright-Patterson Air Force Base</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•Commander, Air Force Materiel Command (2012 - 2015)</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•Commander, C-17 Systems Group for the Aeronautical Systems Center (2002 - 2005)</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•Director, B-2 System Program Office (2000 - 2002)</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Pentagon</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•Military Deputy to the Assistant Secretary of the Air Force for Acquisition (2011 - 2012)</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•Service's Director of the Acquisition Center of Excellence (2005 - 2006)</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Private Boards and Community Service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KPMG LLP, </w:t>
      </w:r>
      <w:r>
        <w:rPr>
          <w:rFonts w:ascii="Arial" w:cs="Arial" w:eastAsia="Arial" w:hAnsi="Arial"/>
          <w:sz w:val="12"/>
          <w:szCs w:val="12"/>
          <w:color w:val="auto"/>
        </w:rPr>
        <w:t>Independent Director (2018 - Present)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Defense Advisory Committee on Women in the Services</w:t>
      </w:r>
      <w:r>
        <w:rPr>
          <w:rFonts w:ascii="Arial" w:cs="Arial" w:eastAsia="Arial" w:hAnsi="Arial"/>
          <w:sz w:val="12"/>
          <w:szCs w:val="12"/>
          <w:color w:val="auto"/>
        </w:rPr>
        <w:t>, Chair (2016 - Present)</w:t>
      </w:r>
    </w:p>
    <w:p>
      <w:pPr>
        <w:spacing w:after="0"/>
        <w:rPr>
          <w:sz w:val="20"/>
          <w:szCs w:val="20"/>
          <w:color w:val="auto"/>
        </w:rPr>
      </w:pPr>
      <w:r>
        <w:rPr>
          <w:rFonts w:ascii="Arial" w:cs="Arial" w:eastAsia="Arial" w:hAnsi="Arial"/>
          <w:sz w:val="12"/>
          <w:szCs w:val="12"/>
          <w:i w:val="1"/>
          <w:iCs w:val="1"/>
          <w:color w:val="auto"/>
        </w:rPr>
        <w:t xml:space="preserve">Massachusetts Institute of Technology Corporation, Member </w:t>
      </w:r>
      <w:r>
        <w:rPr>
          <w:rFonts w:ascii="Arial" w:cs="Arial" w:eastAsia="Arial" w:hAnsi="Arial"/>
          <w:sz w:val="12"/>
          <w:szCs w:val="12"/>
          <w:color w:val="auto"/>
        </w:rPr>
        <w:t>(2020 - Present)</w:t>
      </w:r>
      <w:r>
        <w:rPr>
          <w:rFonts w:ascii="Arial" w:cs="Arial" w:eastAsia="Arial" w:hAnsi="Arial"/>
          <w:sz w:val="12"/>
          <w:szCs w:val="12"/>
          <w:i w:val="1"/>
          <w:iCs w:val="1"/>
          <w:color w:val="auto"/>
        </w:rPr>
        <w:t xml:space="preserve"> Falcon Foundation, </w:t>
      </w:r>
      <w:r>
        <w:rPr>
          <w:rFonts w:ascii="Arial" w:cs="Arial" w:eastAsia="Arial" w:hAnsi="Arial"/>
          <w:sz w:val="12"/>
          <w:szCs w:val="12"/>
          <w:color w:val="auto"/>
        </w:rPr>
        <w:t>Trustee (2016 - Present)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B2E5"/>
        </w:rPr>
        <w:t>Education</w:t>
      </w: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Bachelor of Science, Engineering Sciences </w:t>
      </w:r>
      <w:r>
        <w:rPr>
          <w:rFonts w:ascii="Arial" w:cs="Arial" w:eastAsia="Arial" w:hAnsi="Arial"/>
          <w:sz w:val="12"/>
          <w:szCs w:val="12"/>
          <w:color w:val="auto"/>
        </w:rPr>
        <w:t>(U.S. Air Force Academy)</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Master of Science, Aeronautics and Astronautics </w:t>
      </w:r>
      <w:r>
        <w:rPr>
          <w:rFonts w:ascii="Arial" w:cs="Arial" w:eastAsia="Arial" w:hAnsi="Arial"/>
          <w:sz w:val="12"/>
          <w:szCs w:val="12"/>
          <w:color w:val="auto"/>
        </w:rPr>
        <w:t>(Massachusetts Institute of Technology)</w:t>
      </w:r>
    </w:p>
    <w:p>
      <w:pPr>
        <w:spacing w:after="0"/>
        <w:rPr>
          <w:sz w:val="20"/>
          <w:szCs w:val="20"/>
          <w:color w:val="auto"/>
        </w:rPr>
      </w:pPr>
      <w:r>
        <w:rPr>
          <w:rFonts w:ascii="Arial" w:cs="Arial" w:eastAsia="Arial" w:hAnsi="Arial"/>
          <w:sz w:val="12"/>
          <w:szCs w:val="12"/>
          <w:i w:val="1"/>
          <w:iCs w:val="1"/>
          <w:color w:val="auto"/>
        </w:rPr>
        <w:t xml:space="preserve">Master of Science, National Resource Strategy </w:t>
      </w:r>
      <w:r>
        <w:rPr>
          <w:rFonts w:ascii="Arial" w:cs="Arial" w:eastAsia="Arial" w:hAnsi="Arial"/>
          <w:sz w:val="12"/>
          <w:szCs w:val="12"/>
          <w:color w:val="auto"/>
        </w:rPr>
        <w:t>(National Defense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-829310</wp:posOffset>
            </wp:positionH>
            <wp:positionV relativeFrom="paragraph">
              <wp:posOffset>90170</wp:posOffset>
            </wp:positionV>
            <wp:extent cx="7176770"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1200" w:space="100"/>
            <w:col w:w="10000"/>
          </w:cols>
          <w:pgMar w:left="300" w:top="128" w:right="299" w:bottom="1440" w:gutter="0" w:footer="0" w:header="0"/>
          <w:type w:val="continuous"/>
        </w:sectPr>
      </w:pPr>
    </w:p>
    <w:p>
      <w:pPr>
        <w:spacing w:after="0"/>
        <w:rPr>
          <w:sz w:val="20"/>
          <w:szCs w:val="20"/>
          <w:color w:val="auto"/>
        </w:rPr>
      </w:pPr>
      <w:r>
        <w:rPr>
          <w:rFonts w:ascii="Arial" w:cs="Arial" w:eastAsia="Arial" w:hAnsi="Arial"/>
          <w:sz w:val="15"/>
          <w:szCs w:val="15"/>
          <w:b w:val="1"/>
          <w:bCs w:val="1"/>
          <w:color w:val="00B2E5"/>
        </w:rPr>
        <w:t>Vote Required and 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Directors are elected by a majority of the votes cast for and against by holders of shares entitled to vote at the 2021 Annual Meeting. This means that for each director the number of votes cast "FOR" the director must exceed the number of votes cast "AGAINST" the director. Abstentions and broker non-votes will not be considered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83755" cy="1517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3755" cy="151765"/>
                    </a:xfrm>
                    <a:prstGeom prst="rect">
                      <a:avLst/>
                    </a:prstGeom>
                    <a:noFill/>
                  </pic:spPr>
                </pic:pic>
              </a:graphicData>
            </a:graphic>
          </wp:anchor>
        </w:drawing>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 xml:space="preserve">The Board of Directors recommends that you vote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the election of each nominee for director.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type w:val="continuous"/>
        </w:sectPr>
      </w:pPr>
    </w:p>
    <w:bookmarkStart w:id="47" w:name="page48"/>
    <w:bookmarkEnd w:id="47"/>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PROPOSAL 2</w:t>
      </w:r>
    </w:p>
    <w:p>
      <w:pPr>
        <w:spacing w:after="0" w:line="44"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RATIFICATION OF SELECTION OF INDEPENDENT</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REGISTERED PUBLIC ACCOUNTING FIRM</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Audit Committee of our Board has retained Ernst &amp; Young LLP to serve as our independent registered public accounting firm for the fiscal year ending September 30, 2021. Ernst &amp; Young LLP has served as the Company's independent registered public accounting firm since 1990. A representative of Ernst &amp; Young LLP is expected to be present at the 2021 Annual Meeting and will have an opportunity to make a statement if the representative so desires, and will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80010</wp:posOffset>
            </wp:positionV>
            <wp:extent cx="7176770"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Reasons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The selection of our independent registered public accounting firm is not required to be submitted for stockholder approval, but the Audit Committee of our Board is seeking ratification of its selection of Ernst &amp; Young LLP from our stockholders as a matter of good corporate practice. If stockholders do not ratify this selection, the Audit Committee of our Board will reconsider its selection of Ernst &amp; Young LLP and will, in its sole discretion, either continue to retain this firm or appoint a new independent registered public accounting firm. Even if the selection is ratified, the Audit Committee may, in its discretion, appoint a different independent registered public accounting firm at any time during the fiscal year if it determines that such a change would be in the Company's best interests and the best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76770"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Reasons for Recommendation to Appoint Ernst &amp; Young as the Company's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176770"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303"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color w:val="auto"/>
        </w:rPr>
        <w:t>As with previous years, the Audit Committee undertook a review of Ernst &amp; Young LLP in determining whether to select Ernst &amp; Young LLP as the Company's independent registered public accounting firm for fiscal year 2020 and to recommend ratification of its selection to the Company's stockholders. In that review, the Audit Committee considered a number of factors including:</w:t>
      </w:r>
    </w:p>
    <w:p>
      <w:pPr>
        <w:spacing w:after="0" w:line="104" w:lineRule="exact"/>
        <w:rPr>
          <w:sz w:val="20"/>
          <w:szCs w:val="20"/>
          <w:color w:val="auto"/>
        </w:rPr>
      </w:pPr>
    </w:p>
    <w:p>
      <w:pPr>
        <w:ind w:left="720" w:hanging="362"/>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continued independence of Ernst &amp; Young LLP;</w:t>
      </w:r>
    </w:p>
    <w:p>
      <w:pPr>
        <w:spacing w:after="0" w:line="144" w:lineRule="exact"/>
        <w:rPr>
          <w:rFonts w:ascii="Arial" w:cs="Arial" w:eastAsia="Arial" w:hAnsi="Arial"/>
          <w:sz w:val="12"/>
          <w:szCs w:val="12"/>
          <w:color w:val="auto"/>
        </w:rPr>
      </w:pPr>
    </w:p>
    <w:p>
      <w:pPr>
        <w:ind w:left="720" w:hanging="362"/>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length of time Ernst &amp; Young LLP has been engaged by the Company;</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senior management's assessment of Ernst &amp; Young LLP's performance;</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audit and non-audit fees;</w:t>
      </w:r>
    </w:p>
    <w:p>
      <w:pPr>
        <w:spacing w:after="0" w:line="144" w:lineRule="exact"/>
        <w:rPr>
          <w:rFonts w:ascii="Arial" w:cs="Arial" w:eastAsia="Arial" w:hAnsi="Arial"/>
          <w:sz w:val="12"/>
          <w:szCs w:val="12"/>
          <w:color w:val="auto"/>
        </w:rPr>
      </w:pPr>
    </w:p>
    <w:p>
      <w:pPr>
        <w:ind w:left="720" w:hanging="362"/>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capacity to appropriately staff the audit;</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geographic and subject matter coverage;</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lead audit engagement partner performance;</w:t>
      </w:r>
    </w:p>
    <w:p>
      <w:pPr>
        <w:spacing w:after="0" w:line="144" w:lineRule="exact"/>
        <w:rPr>
          <w:rFonts w:ascii="Arial" w:cs="Arial" w:eastAsia="Arial" w:hAnsi="Arial"/>
          <w:sz w:val="12"/>
          <w:szCs w:val="12"/>
          <w:color w:val="auto"/>
        </w:rPr>
      </w:pPr>
    </w:p>
    <w:p>
      <w:pPr>
        <w:ind w:left="720" w:hanging="362"/>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overall performance;</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qualifications and quality control procedures; and</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whether retaining Ernst &amp; Young LLP is in the best interests of the Company and its stockholders.</w:t>
      </w:r>
    </w:p>
    <w:p>
      <w:pPr>
        <w:spacing w:after="0" w:line="145" w:lineRule="exact"/>
        <w:rPr>
          <w:sz w:val="20"/>
          <w:szCs w:val="20"/>
          <w:color w:val="auto"/>
        </w:rPr>
      </w:pPr>
    </w:p>
    <w:p>
      <w:pPr>
        <w:ind w:right="20"/>
        <w:spacing w:after="0" w:line="274" w:lineRule="auto"/>
        <w:rPr>
          <w:sz w:val="20"/>
          <w:szCs w:val="20"/>
          <w:color w:val="auto"/>
        </w:rPr>
      </w:pPr>
      <w:r>
        <w:rPr>
          <w:rFonts w:ascii="Arial" w:cs="Arial" w:eastAsia="Arial" w:hAnsi="Arial"/>
          <w:sz w:val="12"/>
          <w:szCs w:val="12"/>
          <w:color w:val="auto"/>
        </w:rPr>
        <w:t>Based upon this review, the Audit Committee believes that Ernst &amp; Young LLP is independent and that it is in the best interests of the Company and our stockholders to retain Ernst &amp; Young LLP to serve as our independent registered public accounting firm for Fiscal Year 2021.</w:t>
      </w:r>
    </w:p>
    <w:p>
      <w:pPr>
        <w:spacing w:after="0" w:line="104"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In accordance with the Sarbanes-Oxley Act and the related SEC rules, the Audit Committee limits the number of consecutive years an individual partner may serve as the lead audit engagement partner to the Company.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8" w:name="page49"/>
    <w:bookmarkEnd w:id="48"/>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maximum number of consecutive years of service in that capacity is five years. The current lead audit engagement partner is in his fourth year in that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76770"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Vote Required and 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ratification of our independent registered public accounting firm requires the affirmative vote of the holders of a majority of the shares of common stock present or represented by proxy and entitled to vote on the proposal at the 2021 Annual Meeting. Abstentions will be counted as present and will have the effect of a vote against the proposal. Brokers have discretion to vote on the ratification of our independent registered public accounting firm and, as such, no votes on this proposal will be considered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76835</wp:posOffset>
            </wp:positionV>
            <wp:extent cx="7183755" cy="1517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3755" cy="151765"/>
                    </a:xfrm>
                    <a:prstGeom prst="rect">
                      <a:avLst/>
                    </a:prstGeom>
                    <a:noFill/>
                  </pic:spPr>
                </pic:pic>
              </a:graphicData>
            </a:graphic>
          </wp:anchor>
        </w:drawing>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 xml:space="preserve">The Board of Directors recommends that you vote </w:t>
      </w:r>
      <w:r>
        <w:rPr>
          <w:rFonts w:ascii="Arial" w:cs="Arial" w:eastAsia="Arial" w:hAnsi="Arial"/>
          <w:sz w:val="12"/>
          <w:szCs w:val="12"/>
          <w:b w:val="1"/>
          <w:bCs w:val="1"/>
          <w:i w:val="1"/>
          <w:iCs w:val="1"/>
          <w:color w:val="auto"/>
        </w:rPr>
        <w:t>FOR</w:t>
      </w:r>
      <w:r>
        <w:rPr>
          <w:rFonts w:ascii="Arial" w:cs="Arial" w:eastAsia="Arial" w:hAnsi="Arial"/>
          <w:sz w:val="12"/>
          <w:szCs w:val="12"/>
          <w:b w:val="1"/>
          <w:bCs w:val="1"/>
          <w:color w:val="auto"/>
        </w:rPr>
        <w:t xml:space="preserve"> the ratification of Ernst &amp; Young LLP.</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49" w:name="page50"/>
    <w:bookmarkEnd w:id="49"/>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PROPOSAL 3</w:t>
      </w:r>
    </w:p>
    <w:p>
      <w:pPr>
        <w:spacing w:after="0" w:line="44"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ADVISORY RESOLUTION TO APPROVE EXECUTIVE COMPENSATION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In accordance with Section 14A of the Exchange Act, we are asking our stockholders to approve, on an advisory basis, AECOM's executive compensation as reported in this Proxy Statement.</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At AECOM, executive compensation plans are driven by both short- and long-term financial performance metrics that are designed to incentivize our NEOs to maximize long-term stockholder value creation. As such, based on direct stockholder feedback, AECOM's executives are incentivized via an annual cash bonus plan and the grant of certain long-term equity awards that include without limitation the following performance metrics: adjusted earnings per share, cash flow, return on invested capital, and relative total shareholder return.</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We urge stockholders to read the "COMPENSATION DISCUSSION AND ANALYSIS" section in this Proxy Statement, which describes in more detail how our executive compensation policies and procedures operate and are designed to achieve our compensation objectives, as well as the "SUMMARY COMPENSATION TABLE" and related compensation tables and narrative, which provide detailed information on the compensation of our NEOs. The Compensation and Organization Committee ("Compensation Committee") and the Board believe that the policies, procedures and programs articulated in the "COMPENSATION DISCUSSION AND ANALYSIS" are effective in achieving our goals and that the compensation of our NEOs reported in this Proxy Statement has supported and contributed to the Company's success.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We are asking stockholders to approve the following advisory resolution at the 2021 Annual Meeting:</w:t>
      </w:r>
    </w:p>
    <w:p>
      <w:pPr>
        <w:spacing w:after="0" w:line="145" w:lineRule="exact"/>
        <w:rPr>
          <w:sz w:val="20"/>
          <w:szCs w:val="20"/>
          <w:color w:val="auto"/>
        </w:rPr>
      </w:pPr>
    </w:p>
    <w:p>
      <w:pPr>
        <w:ind w:left="360"/>
        <w:spacing w:after="0" w:line="274" w:lineRule="auto"/>
        <w:rPr>
          <w:sz w:val="20"/>
          <w:szCs w:val="20"/>
          <w:color w:val="auto"/>
        </w:rPr>
      </w:pPr>
      <w:r>
        <w:rPr>
          <w:rFonts w:ascii="Arial" w:cs="Arial" w:eastAsia="Arial" w:hAnsi="Arial"/>
          <w:sz w:val="12"/>
          <w:szCs w:val="12"/>
          <w:color w:val="auto"/>
        </w:rPr>
        <w:t>RESOLVED, that the stockholders of AECOM approve, on an advisory basis, the compensation of the Company's Named Executive Officers set forth in the Compensation Discussion and Analysis, the Summary Compensation Table and the related compensation tables and narrative in the Proxy Statement for the Company's 2021 Annual Meeting of Stockholders.</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This advisory resolution, commonly referred to as a "Say-on-Pay" resolution, is non-binding on the Company, the Board and the Compensation Committee and will not be construed as overruling a decision by, nor creating nor implying any additional fiduciary duty for the Company, the Board or the Compensation Committee. However, the Board and the Compensation Committee will review and consider the voting results on this proposal when evaluating our executive compensation program. The Board has adopted a policy of providing for annual "Say-on-Pay" advisory votes. Unless the Board modifies its policy on the frequency of holding "Say-on-Pay" advisory voting, the next "Say-on-Pay" advisory vote will occur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76770" cy="11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Vote Required and 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affirmative vote of a majority of the shares present or represented by proxy and entitled to vote on the advisory resolution on the Company's executive compensation at the 2021 Annual Meeting is required to approve the advisory resolution on the Company's executive compensation. Abstentions will be counted as present and will have the effect of a vote against the proposal. Broker non-votes will not be counted as participating in the voting on the proposal and will therefore have no effect on the outcome of the vote on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76835</wp:posOffset>
            </wp:positionV>
            <wp:extent cx="7183755" cy="1517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3755" cy="151765"/>
                    </a:xfrm>
                    <a:prstGeom prst="rect">
                      <a:avLst/>
                    </a:prstGeom>
                    <a:noFill/>
                  </pic:spPr>
                </pic:pic>
              </a:graphicData>
            </a:graphic>
          </wp:anchor>
        </w:drawing>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 xml:space="preserve">The Board of Directors recommends that you vote </w:t>
      </w:r>
      <w:r>
        <w:rPr>
          <w:rFonts w:ascii="Arial" w:cs="Arial" w:eastAsia="Arial" w:hAnsi="Arial"/>
          <w:sz w:val="12"/>
          <w:szCs w:val="12"/>
          <w:b w:val="1"/>
          <w:bCs w:val="1"/>
          <w:i w:val="1"/>
          <w:iCs w:val="1"/>
          <w:color w:val="auto"/>
        </w:rPr>
        <w:t>FOR</w:t>
      </w:r>
      <w:r>
        <w:rPr>
          <w:rFonts w:ascii="Arial" w:cs="Arial" w:eastAsia="Arial" w:hAnsi="Arial"/>
          <w:sz w:val="12"/>
          <w:szCs w:val="12"/>
          <w:b w:val="1"/>
          <w:bCs w:val="1"/>
          <w:color w:val="auto"/>
        </w:rPr>
        <w:t xml:space="preserve"> the advisory resolution to approve executive compensation.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0" w:name="page51"/>
    <w:bookmarkEnd w:id="50"/>
    <w:p>
      <w:pPr>
        <w:ind w:left="7"/>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ind w:left="7"/>
        <w:spacing w:after="0"/>
        <w:rPr>
          <w:sz w:val="20"/>
          <w:szCs w:val="20"/>
          <w:color w:val="auto"/>
        </w:rPr>
      </w:pPr>
      <w:r>
        <w:rPr>
          <w:rFonts w:ascii="Arial" w:cs="Arial" w:eastAsia="Arial" w:hAnsi="Arial"/>
          <w:sz w:val="29"/>
          <w:szCs w:val="29"/>
          <w:b w:val="1"/>
          <w:bCs w:val="1"/>
          <w:color w:val="00B2E5"/>
        </w:rPr>
        <w:t>PROPOSAL 4</w:t>
      </w:r>
    </w:p>
    <w:p>
      <w:pPr>
        <w:spacing w:after="0" w:line="44" w:lineRule="exact"/>
        <w:rPr>
          <w:sz w:val="20"/>
          <w:szCs w:val="20"/>
          <w:color w:val="auto"/>
        </w:rPr>
      </w:pPr>
    </w:p>
    <w:p>
      <w:pPr>
        <w:ind w:left="7"/>
        <w:spacing w:after="0"/>
        <w:rPr>
          <w:sz w:val="20"/>
          <w:szCs w:val="20"/>
          <w:color w:val="auto"/>
        </w:rPr>
      </w:pPr>
      <w:r>
        <w:rPr>
          <w:rFonts w:ascii="Arial" w:cs="Arial" w:eastAsia="Arial" w:hAnsi="Arial"/>
          <w:sz w:val="29"/>
          <w:szCs w:val="29"/>
          <w:b w:val="1"/>
          <w:bCs w:val="1"/>
          <w:color w:val="00B2E5"/>
        </w:rPr>
        <w:t>STOCKHOLDER PROPOSAL</w:t>
      </w:r>
    </w:p>
    <w:p>
      <w:pPr>
        <w:spacing w:after="0" w:line="137" w:lineRule="exact"/>
        <w:rPr>
          <w:sz w:val="20"/>
          <w:szCs w:val="20"/>
          <w:color w:val="auto"/>
        </w:rPr>
      </w:pPr>
    </w:p>
    <w:p>
      <w:pPr>
        <w:jc w:val="both"/>
        <w:ind w:left="7"/>
        <w:spacing w:after="0" w:line="261" w:lineRule="auto"/>
        <w:rPr>
          <w:sz w:val="20"/>
          <w:szCs w:val="20"/>
          <w:color w:val="auto"/>
        </w:rPr>
      </w:pPr>
      <w:r>
        <w:rPr>
          <w:rFonts w:ascii="Arial" w:cs="Arial" w:eastAsia="Arial" w:hAnsi="Arial"/>
          <w:sz w:val="12"/>
          <w:szCs w:val="12"/>
          <w:color w:val="auto"/>
        </w:rPr>
        <w:t xml:space="preserve">Mr. John Chevedden, 2215 Nelson Avenue, No. 205 Redondo Beach, California. 90278, the beneficial owner of shares of the Company's common stock with a market value of more than $2,000, has requested that we include the following stockholder proposal and supporting statement in our proxy statement for the 2021 Annual Meeting. The stockholder proposal is required to be voted on at our Annual Meeting only if properly presented at the meeting. The Board of Directors recommends a vote </w:t>
      </w:r>
      <w:r>
        <w:rPr>
          <w:rFonts w:ascii="Arial" w:cs="Arial" w:eastAsia="Arial" w:hAnsi="Arial"/>
          <w:sz w:val="12"/>
          <w:szCs w:val="12"/>
          <w:b w:val="1"/>
          <w:bCs w:val="1"/>
          <w:i w:val="1"/>
          <w:iCs w:val="1"/>
          <w:color w:val="auto"/>
        </w:rPr>
        <w:t>AGAINST</w:t>
      </w:r>
      <w:r>
        <w:rPr>
          <w:rFonts w:ascii="Arial" w:cs="Arial" w:eastAsia="Arial" w:hAnsi="Arial"/>
          <w:sz w:val="12"/>
          <w:szCs w:val="12"/>
          <w:color w:val="auto"/>
        </w:rPr>
        <w:t xml:space="preserve"> this proposal for the reasons stated in the Statement in Opposition to the Stockholder Proposal, which follows the proposal:</w:t>
      </w:r>
    </w:p>
    <w:p>
      <w:pPr>
        <w:spacing w:after="0" w:line="241" w:lineRule="exact"/>
        <w:rPr>
          <w:sz w:val="20"/>
          <w:szCs w:val="20"/>
          <w:color w:val="auto"/>
        </w:rPr>
      </w:pPr>
    </w:p>
    <w:p>
      <w:pPr>
        <w:jc w:val="center"/>
        <w:ind w:right="33"/>
        <w:spacing w:after="0"/>
        <w:rPr>
          <w:sz w:val="20"/>
          <w:szCs w:val="20"/>
          <w:color w:val="auto"/>
        </w:rPr>
      </w:pPr>
      <w:r>
        <w:rPr>
          <w:rFonts w:ascii="Arial" w:cs="Arial" w:eastAsia="Arial" w:hAnsi="Arial"/>
          <w:sz w:val="12"/>
          <w:szCs w:val="12"/>
          <w:b w:val="1"/>
          <w:bCs w:val="1"/>
          <w:color w:val="auto"/>
        </w:rPr>
        <w:t>Proposal 4 — Lobbying Disclosure</w:t>
      </w:r>
    </w:p>
    <w:p>
      <w:pPr>
        <w:spacing w:after="0" w:line="147" w:lineRule="exact"/>
        <w:rPr>
          <w:sz w:val="20"/>
          <w:szCs w:val="20"/>
          <w:color w:val="auto"/>
        </w:rPr>
      </w:pPr>
    </w:p>
    <w:p>
      <w:pPr>
        <w:jc w:val="both"/>
        <w:ind w:left="7" w:right="20"/>
        <w:spacing w:after="0" w:line="274" w:lineRule="auto"/>
        <w:rPr>
          <w:sz w:val="20"/>
          <w:szCs w:val="20"/>
          <w:color w:val="auto"/>
        </w:rPr>
      </w:pPr>
      <w:r>
        <w:rPr>
          <w:rFonts w:ascii="Arial" w:cs="Arial" w:eastAsia="Arial" w:hAnsi="Arial"/>
          <w:sz w:val="12"/>
          <w:szCs w:val="12"/>
          <w:color w:val="auto"/>
        </w:rPr>
        <w:t>Whereas, we believe in full disclosure of AECOM's direct and indirect lobbying activities and expenditures to assess whether AECOM's lobbying is consistent with AECOM's expressed goals and in the best interests of stockholders.</w:t>
      </w:r>
    </w:p>
    <w:p>
      <w:pPr>
        <w:spacing w:after="0" w:line="104" w:lineRule="exact"/>
        <w:rPr>
          <w:sz w:val="20"/>
          <w:szCs w:val="20"/>
          <w:color w:val="auto"/>
        </w:rPr>
      </w:pPr>
    </w:p>
    <w:p>
      <w:pPr>
        <w:ind w:left="7"/>
        <w:spacing w:after="0"/>
        <w:rPr>
          <w:sz w:val="20"/>
          <w:szCs w:val="20"/>
          <w:color w:val="auto"/>
        </w:rPr>
      </w:pPr>
      <w:r>
        <w:rPr>
          <w:rFonts w:ascii="Arial" w:cs="Arial" w:eastAsia="Arial" w:hAnsi="Arial"/>
          <w:sz w:val="12"/>
          <w:szCs w:val="12"/>
          <w:color w:val="auto"/>
        </w:rPr>
        <w:t>Resolved, the stockholders of AECOM request the preparation of a report, updated annually, disclosing:</w:t>
      </w:r>
    </w:p>
    <w:p>
      <w:pPr>
        <w:spacing w:after="0" w:line="145" w:lineRule="exact"/>
        <w:rPr>
          <w:sz w:val="20"/>
          <w:szCs w:val="20"/>
          <w:color w:val="auto"/>
        </w:rPr>
      </w:pPr>
    </w:p>
    <w:p>
      <w:pPr>
        <w:ind w:left="727" w:hanging="362"/>
        <w:spacing w:after="0"/>
        <w:tabs>
          <w:tab w:leader="none" w:pos="727"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Company policy and procedures governing lobbying, both direct and indirect, and grassroots lobbying communications.</w:t>
      </w:r>
    </w:p>
    <w:p>
      <w:pPr>
        <w:spacing w:after="0" w:line="144" w:lineRule="exact"/>
        <w:rPr>
          <w:rFonts w:ascii="Arial" w:cs="Arial" w:eastAsia="Arial" w:hAnsi="Arial"/>
          <w:sz w:val="12"/>
          <w:szCs w:val="12"/>
          <w:color w:val="auto"/>
        </w:rPr>
      </w:pPr>
    </w:p>
    <w:p>
      <w:pPr>
        <w:ind w:left="727" w:hanging="362"/>
        <w:spacing w:after="0"/>
        <w:tabs>
          <w:tab w:leader="none" w:pos="727" w:val="left"/>
        </w:tabs>
        <w:numPr>
          <w:ilvl w:val="0"/>
          <w:numId w:val="23"/>
        </w:numPr>
        <w:rPr>
          <w:rFonts w:ascii="Arial" w:cs="Arial" w:eastAsia="Arial" w:hAnsi="Arial"/>
          <w:sz w:val="12"/>
          <w:szCs w:val="12"/>
          <w:color w:val="auto"/>
        </w:rPr>
      </w:pPr>
      <w:r>
        <w:rPr>
          <w:rFonts w:ascii="Arial" w:cs="Arial" w:eastAsia="Arial" w:hAnsi="Arial"/>
          <w:sz w:val="12"/>
          <w:szCs w:val="12"/>
          <w:color w:val="auto"/>
        </w:rPr>
        <w:t>Payments by AECOM used for (a) direct or indirect lobbying or (b) grassroots lobbying communications, in each case including the amount of the payment and the recipient.</w:t>
      </w:r>
    </w:p>
    <w:p>
      <w:pPr>
        <w:spacing w:after="0" w:line="135" w:lineRule="exact"/>
        <w:rPr>
          <w:rFonts w:ascii="Arial" w:cs="Arial" w:eastAsia="Arial" w:hAnsi="Arial"/>
          <w:sz w:val="12"/>
          <w:szCs w:val="12"/>
          <w:color w:val="auto"/>
        </w:rPr>
      </w:pPr>
    </w:p>
    <w:p>
      <w:pPr>
        <w:ind w:left="727" w:hanging="362"/>
        <w:spacing w:after="0"/>
        <w:tabs>
          <w:tab w:leader="none" w:pos="727" w:val="left"/>
        </w:tabs>
        <w:numPr>
          <w:ilvl w:val="0"/>
          <w:numId w:val="23"/>
        </w:numPr>
        <w:rPr>
          <w:rFonts w:ascii="Arial" w:cs="Arial" w:eastAsia="Arial" w:hAnsi="Arial"/>
          <w:sz w:val="12"/>
          <w:szCs w:val="12"/>
          <w:color w:val="auto"/>
        </w:rPr>
      </w:pPr>
      <w:r>
        <w:rPr>
          <w:rFonts w:ascii="Arial" w:cs="Arial" w:eastAsia="Arial" w:hAnsi="Arial"/>
          <w:sz w:val="12"/>
          <w:szCs w:val="12"/>
          <w:color w:val="auto"/>
        </w:rPr>
        <w:t>AECOM's membership in and payments to any tax-exempt organization that writes and endorses model legislation.</w:t>
      </w:r>
    </w:p>
    <w:p>
      <w:pPr>
        <w:spacing w:after="0" w:line="135" w:lineRule="exact"/>
        <w:rPr>
          <w:rFonts w:ascii="Arial" w:cs="Arial" w:eastAsia="Arial" w:hAnsi="Arial"/>
          <w:sz w:val="12"/>
          <w:szCs w:val="12"/>
          <w:color w:val="auto"/>
        </w:rPr>
      </w:pPr>
    </w:p>
    <w:p>
      <w:pPr>
        <w:ind w:left="727" w:hanging="362"/>
        <w:spacing w:after="0"/>
        <w:tabs>
          <w:tab w:leader="none" w:pos="727" w:val="left"/>
        </w:tabs>
        <w:numPr>
          <w:ilvl w:val="0"/>
          <w:numId w:val="23"/>
        </w:numPr>
        <w:rPr>
          <w:rFonts w:ascii="Arial" w:cs="Arial" w:eastAsia="Arial" w:hAnsi="Arial"/>
          <w:sz w:val="12"/>
          <w:szCs w:val="12"/>
          <w:color w:val="auto"/>
        </w:rPr>
      </w:pPr>
      <w:r>
        <w:rPr>
          <w:rFonts w:ascii="Arial" w:cs="Arial" w:eastAsia="Arial" w:hAnsi="Arial"/>
          <w:sz w:val="12"/>
          <w:szCs w:val="12"/>
          <w:color w:val="auto"/>
        </w:rPr>
        <w:t>Description of management's and the Board's decision-making process and oversight for making payments described in sections 2 and 3 above.</w:t>
      </w:r>
    </w:p>
    <w:p>
      <w:pPr>
        <w:spacing w:after="0" w:line="145" w:lineRule="exact"/>
        <w:rPr>
          <w:sz w:val="20"/>
          <w:szCs w:val="20"/>
          <w:color w:val="auto"/>
        </w:rPr>
      </w:pPr>
    </w:p>
    <w:p>
      <w:pPr>
        <w:jc w:val="both"/>
        <w:ind w:left="7"/>
        <w:spacing w:after="0" w:line="256" w:lineRule="auto"/>
        <w:rPr>
          <w:sz w:val="20"/>
          <w:szCs w:val="20"/>
          <w:color w:val="auto"/>
        </w:rPr>
      </w:pPr>
      <w:r>
        <w:rPr>
          <w:rFonts w:ascii="Arial" w:cs="Arial" w:eastAsia="Arial" w:hAnsi="Arial"/>
          <w:sz w:val="12"/>
          <w:szCs w:val="12"/>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AECOM is a member.</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12"/>
          <w:szCs w:val="12"/>
          <w:color w:val="auto"/>
        </w:rPr>
        <w:t>Both "direct and indirect lobbying" and "grassroots lobbying communications" include efforts at the local, state and federal levels.</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report shall be presented to the Audit Committee or other relevant oversight committees and posted on AECOM's website.</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Supporting Statement</w:t>
      </w:r>
    </w:p>
    <w:p>
      <w:pPr>
        <w:spacing w:after="0" w:line="147" w:lineRule="exact"/>
        <w:rPr>
          <w:sz w:val="20"/>
          <w:szCs w:val="20"/>
          <w:color w:val="auto"/>
        </w:rPr>
      </w:pPr>
    </w:p>
    <w:p>
      <w:pPr>
        <w:jc w:val="both"/>
        <w:ind w:left="7"/>
        <w:spacing w:after="0" w:line="270" w:lineRule="auto"/>
        <w:rPr>
          <w:sz w:val="20"/>
          <w:szCs w:val="20"/>
          <w:color w:val="auto"/>
        </w:rPr>
      </w:pPr>
      <w:r>
        <w:rPr>
          <w:rFonts w:ascii="Arial" w:cs="Arial" w:eastAsia="Arial" w:hAnsi="Arial"/>
          <w:sz w:val="12"/>
          <w:szCs w:val="12"/>
          <w:color w:val="auto"/>
        </w:rPr>
        <w:t>As stockholders, we encourage transparency and accountability in AECOM's use of corporate funds to influence legislation and regulation. AECOM spent $12,240,000 from 2014 - 2019 on federal lobbying. This does not include state lobbying expenditures, where AECOM also lobbies but disclosure is uneven or absent. For example, AECOM spent $1,511,496 on lobbying in New York from 2011 - 2018. AECOM's lobbying on public construction projects in New York has attracted attentions,</w:t>
      </w:r>
      <w:r>
        <w:rPr>
          <w:rFonts w:ascii="Arial" w:cs="Arial" w:eastAsia="Arial" w:hAnsi="Arial"/>
          <w:sz w:val="19"/>
          <w:szCs w:val="19"/>
          <w:color w:val="auto"/>
          <w:vertAlign w:val="superscript"/>
        </w:rPr>
        <w:t>1</w:t>
      </w:r>
      <w:r>
        <w:rPr>
          <w:rFonts w:ascii="Arial" w:cs="Arial" w:eastAsia="Arial" w:hAnsi="Arial"/>
          <w:sz w:val="12"/>
          <w:szCs w:val="12"/>
          <w:color w:val="auto"/>
        </w:rPr>
        <w:t xml:space="preserve"> as has its lobbying in Florida on sewage system upgrades.</w:t>
      </w:r>
      <w:r>
        <w:rPr>
          <w:rFonts w:ascii="Arial" w:cs="Arial" w:eastAsia="Arial" w:hAnsi="Arial"/>
          <w:sz w:val="19"/>
          <w:szCs w:val="19"/>
          <w:color w:val="auto"/>
          <w:vertAlign w:val="superscript"/>
        </w:rPr>
        <w:t>2</w:t>
      </w:r>
    </w:p>
    <w:p>
      <w:pPr>
        <w:spacing w:after="0" w:line="27" w:lineRule="exact"/>
        <w:rPr>
          <w:sz w:val="20"/>
          <w:szCs w:val="20"/>
          <w:color w:val="auto"/>
        </w:rPr>
      </w:pPr>
    </w:p>
    <w:p>
      <w:pPr>
        <w:jc w:val="both"/>
        <w:ind w:left="7"/>
        <w:spacing w:after="0" w:line="256" w:lineRule="auto"/>
        <w:rPr>
          <w:sz w:val="20"/>
          <w:szCs w:val="20"/>
          <w:color w:val="auto"/>
        </w:rPr>
      </w:pPr>
      <w:r>
        <w:rPr>
          <w:rFonts w:ascii="Arial" w:cs="Arial" w:eastAsia="Arial" w:hAnsi="Arial"/>
          <w:sz w:val="12"/>
          <w:szCs w:val="12"/>
          <w:color w:val="auto"/>
        </w:rPr>
        <w:t>AECOM does not disclose its memberships in, or payments to, trade associations, or the amounts used for lobbying. Trade associations spend millions annually lobbying indirectly on behalf of companies. And AECOM does not disclose memberships in tax-exempt organizations that write and endorse model legislation, such as the American Legislative Exchange Council. Absent a system of accountability, company assets could be used for objectives contrary to AECOM's long-term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187515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75155" cy="5715"/>
                    </a:xfrm>
                    <a:prstGeom prst="rect">
                      <a:avLst/>
                    </a:prstGeom>
                    <a:noFill/>
                  </pic:spPr>
                </pic:pic>
              </a:graphicData>
            </a:graphic>
          </wp:anchor>
        </w:drawing>
      </w:r>
    </w:p>
    <w:p>
      <w:pPr>
        <w:spacing w:after="0" w:line="379" w:lineRule="exact"/>
        <w:rPr>
          <w:sz w:val="20"/>
          <w:szCs w:val="20"/>
          <w:color w:val="auto"/>
        </w:rPr>
      </w:pPr>
    </w:p>
    <w:p>
      <w:pPr>
        <w:ind w:left="367" w:hanging="367"/>
        <w:spacing w:after="0"/>
        <w:tabs>
          <w:tab w:leader="none" w:pos="367" w:val="left"/>
        </w:tabs>
        <w:numPr>
          <w:ilvl w:val="0"/>
          <w:numId w:val="24"/>
        </w:numPr>
        <w:rPr>
          <w:rFonts w:ascii="Arial" w:cs="Arial" w:eastAsia="Arial" w:hAnsi="Arial"/>
          <w:sz w:val="20"/>
          <w:szCs w:val="20"/>
          <w:color w:val="auto"/>
          <w:vertAlign w:val="superscript"/>
        </w:rPr>
      </w:pPr>
      <w:r>
        <w:rPr>
          <w:rFonts w:ascii="Arial" w:cs="Arial" w:eastAsia="Arial" w:hAnsi="Arial"/>
          <w:sz w:val="12"/>
          <w:szCs w:val="12"/>
          <w:color w:val="auto"/>
        </w:rPr>
        <w:t>https://www.amny.com/news/concerns-raised-over-big-new-york-developers-involvement-in-public-projects/</w:t>
      </w:r>
    </w:p>
    <w:p>
      <w:pPr>
        <w:spacing w:after="0" w:line="43" w:lineRule="exact"/>
        <w:rPr>
          <w:sz w:val="20"/>
          <w:szCs w:val="20"/>
          <w:color w:val="auto"/>
        </w:rPr>
      </w:pPr>
    </w:p>
    <w:p>
      <w:pPr>
        <w:ind w:left="367" w:hanging="367"/>
        <w:spacing w:after="0"/>
        <w:tabs>
          <w:tab w:leader="none" w:pos="367" w:val="left"/>
        </w:tabs>
        <w:numPr>
          <w:ilvl w:val="0"/>
          <w:numId w:val="25"/>
        </w:numPr>
        <w:rPr>
          <w:rFonts w:ascii="Arial" w:cs="Arial" w:eastAsia="Arial" w:hAnsi="Arial"/>
          <w:sz w:val="20"/>
          <w:szCs w:val="20"/>
          <w:color w:val="auto"/>
          <w:vertAlign w:val="superscript"/>
        </w:rPr>
      </w:pPr>
      <w:r>
        <w:rPr>
          <w:rFonts w:ascii="Arial" w:cs="Arial" w:eastAsia="Arial" w:hAnsi="Arial"/>
          <w:sz w:val="12"/>
          <w:szCs w:val="12"/>
          <w:color w:val="auto"/>
        </w:rPr>
        <w:t>https://www.miamiherald.com/news /local/community/miami-dade/article226118840.html</w:t>
      </w:r>
    </w:p>
    <w:p>
      <w:pPr>
        <w:spacing w:after="0" w:line="12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83755" cy="18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51" w:name="page52"/>
    <w:bookmarkEnd w:id="51"/>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We believe AECOM's lack of lobbying disclosure presents reputational risks that could harm long-term value creation by AECOM, and thus we urge the Board to institute comprehensive lobbying disclosure.</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Please vote yes:</w:t>
      </w:r>
    </w:p>
    <w:p>
      <w:pPr>
        <w:spacing w:after="0" w:line="279" w:lineRule="exact"/>
        <w:rPr>
          <w:sz w:val="20"/>
          <w:szCs w:val="20"/>
          <w:color w:val="auto"/>
        </w:rPr>
      </w:pPr>
    </w:p>
    <w:p>
      <w:pPr>
        <w:jc w:val="center"/>
        <w:ind w:right="-519"/>
        <w:spacing w:after="0"/>
        <w:rPr>
          <w:sz w:val="20"/>
          <w:szCs w:val="20"/>
          <w:color w:val="auto"/>
        </w:rPr>
      </w:pPr>
      <w:r>
        <w:rPr>
          <w:rFonts w:ascii="Arial" w:cs="Arial" w:eastAsia="Arial" w:hAnsi="Arial"/>
          <w:sz w:val="12"/>
          <w:szCs w:val="12"/>
          <w:b w:val="1"/>
          <w:bCs w:val="1"/>
          <w:color w:val="auto"/>
        </w:rPr>
        <w:t>Lobbying Disclosure Proposal — Proposal 4</w:t>
      </w:r>
    </w:p>
    <w:p>
      <w:pPr>
        <w:spacing w:after="0" w:line="147" w:lineRule="exact"/>
        <w:rPr>
          <w:sz w:val="20"/>
          <w:szCs w:val="20"/>
          <w:color w:val="auto"/>
        </w:rPr>
      </w:pPr>
    </w:p>
    <w:p>
      <w:pPr>
        <w:jc w:val="center"/>
        <w:ind w:right="-53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740"/>
          </w:cols>
          <w:pgMar w:left="300" w:top="128" w:right="859" w:bottom="1440" w:gutter="0" w:footer="0" w:header="0"/>
        </w:sectPr>
      </w:pPr>
    </w:p>
    <w:bookmarkStart w:id="52" w:name="page53"/>
    <w:bookmarkEnd w:id="52"/>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PROPOSAL 4</w:t>
      </w:r>
    </w:p>
    <w:p>
      <w:pPr>
        <w:spacing w:after="0" w:line="44" w:lineRule="exact"/>
        <w:rPr>
          <w:sz w:val="20"/>
          <w:szCs w:val="20"/>
          <w:color w:val="auto"/>
        </w:rPr>
      </w:pPr>
    </w:p>
    <w:p>
      <w:pPr>
        <w:jc w:val="both"/>
        <w:ind w:right="20"/>
        <w:spacing w:after="0" w:line="270" w:lineRule="auto"/>
        <w:rPr>
          <w:sz w:val="20"/>
          <w:szCs w:val="20"/>
          <w:color w:val="auto"/>
        </w:rPr>
      </w:pPr>
      <w:r>
        <w:rPr>
          <w:rFonts w:ascii="Arial" w:cs="Arial" w:eastAsia="Arial" w:hAnsi="Arial"/>
          <w:sz w:val="29"/>
          <w:szCs w:val="29"/>
          <w:b w:val="1"/>
          <w:bCs w:val="1"/>
          <w:color w:val="00B2E5"/>
        </w:rPr>
        <w:t>BOARD OF DIRECTORS' STATEMENT IN OPPOSITION TO THE STOCKHOLDER PROPOSAL</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Our Board recommends a vote AGAINST this proposal.</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 xml:space="preserve">The Board has considered this proposal and concluded that its adoption is unnecessary and not in the best interests of our stockholders in light of the Company's internal policies and existing disclosure regarding lobbying activities, the current public availability of much of the information requested by the proposal and the potential concerns relating to enhanced disclosures. Accordingly, the Board unanimously recommends a vote </w:t>
      </w:r>
      <w:r>
        <w:rPr>
          <w:rFonts w:ascii="Arial" w:cs="Arial" w:eastAsia="Arial" w:hAnsi="Arial"/>
          <w:sz w:val="12"/>
          <w:szCs w:val="12"/>
          <w:b w:val="1"/>
          <w:bCs w:val="1"/>
          <w:i w:val="1"/>
          <w:iCs w:val="1"/>
          <w:color w:val="auto"/>
        </w:rPr>
        <w:t>AGAINST</w:t>
      </w:r>
      <w:r>
        <w:rPr>
          <w:rFonts w:ascii="Arial" w:cs="Arial" w:eastAsia="Arial" w:hAnsi="Arial"/>
          <w:sz w:val="12"/>
          <w:szCs w:val="12"/>
          <w:color w:val="auto"/>
        </w:rPr>
        <w:t xml:space="preserve"> this proposal.</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B2E5"/>
        </w:rPr>
        <w:t>AECOM participates in the U.S. political process to the benefit of its stockholders.</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The Board believes it is in the best interests of our stockholders for AECOM to participate in the political process. As a global infrastructure firm, we are affected by numerous laws, regulations and policies which govern various aspects of our business. As a result, we actively review and discuss existing and upcoming policy changes and regulatory initiatives and take part in industry dialogue and lobbying efforts related to those issues that are of high importance to the Company's success and the concerns of our stakeholders. We strive to adhere to our corporate values and we constructively promote legislative and regulatory actions that further the business objectives of AECOM and the economic future of our stockholders and employees.</w:t>
      </w:r>
    </w:p>
    <w:p>
      <w:pPr>
        <w:spacing w:after="0" w:line="118"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Like many major corporations, AECOM belongs to a number of industry associations. This involvement allows us to gain insight into core issues for the infrastructure sector as a whole and to advocate jointly for regulations that support an efficient, healthy and competitive industry. Such membership also allows us to benefit from the opportunity to share technical expertise and operational knowledge that leads to better safety, customer service and overall efficiency.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B2E5"/>
        </w:rPr>
        <w:t>AECOM has robust policies and procedures in place to effectively oversee decisions regarding lobbying activities and expenditures.</w:t>
      </w:r>
    </w:p>
    <w:p>
      <w:pPr>
        <w:spacing w:after="0" w:line="145"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AECOM is committed to complying with our values, our internal policies and all applicable laws when engaging in any type of lobbying or political activity. Management has developed a decision-making process regarding its lobbying activities to ensure they are strategic, prudent and compliant. A coordinated effort of the Company's Government Relations, Legal, Ethics and Compliance, and Communications Departments oversees and monitors AECOM's participation in the U.S. political process and its compliance with federal, state and local laws governing AECOM's lobbying activities and contributions (including dues and other payments to trade associations and other nonprofits engaged in public advocacy). This effort involves vetting procedures on advocates who lobby on the Company's behalf. The Company conducts several forms of training relating to lobbying, including annual training and certification regarding the Company's Code of Conduct, and specialized training for Company employees involved in the engagement of lobbyists and other advocates. In addition, the Board, including through its Nominating and Governance Committee, has oversight of the Company's general policy relating to the support of trade associations, political organizations and lobbying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While trade associations do conduct lobbying on a wide range of issues, no company's membership in any association should be perceived as an endorsement of every policy that a particular association supports.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AECOM's support for specific policies is identified in its own specific statements and lobbying disclosures.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B2E5"/>
        </w:rPr>
        <w:t>AECOM already provides substantial disclosure regarding its lobbying activities.</w:t>
      </w:r>
    </w:p>
    <w:p>
      <w:pPr>
        <w:spacing w:after="0" w:line="145"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Lobbying activities are subject to extensive governmental regulation and public disclosure requirements, and AECOM is fully committed to complying with all applicable U.S. state and federal laws governing these activities.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3" w:name="page54"/>
    <w:bookmarkEnd w:id="53"/>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Board believes these disclosure requirements provide transparency of our lobbying activities to the general public, including our stockholders. Specifically, the Company:</w:t>
      </w:r>
    </w:p>
    <w:p>
      <w:pPr>
        <w:spacing w:after="0" w:line="145" w:lineRule="exact"/>
        <w:rPr>
          <w:sz w:val="20"/>
          <w:szCs w:val="20"/>
          <w:color w:val="auto"/>
        </w:rPr>
      </w:pPr>
    </w:p>
    <w:p>
      <w:pPr>
        <w:jc w:val="both"/>
        <w:ind w:left="720" w:right="20" w:hanging="362"/>
        <w:spacing w:after="0" w:line="256" w:lineRule="auto"/>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files quarterly reports with the U.S. House of Representatives and the U.S. Senate that disclose overall federal lobbying expenses, the specific legislative and regulatory issues that were the subject of the Company's federal lobbying efforts, the houses of Congress and federal agencies lobbied by the Company and the names of those individuals lobbying on behalf of the Company. These reports are publicly available on websites hosted by the U.S. House of Representatives and the U.S. Senate; and</w:t>
      </w:r>
    </w:p>
    <w:p>
      <w:pPr>
        <w:spacing w:after="0" w:line="114" w:lineRule="exact"/>
        <w:rPr>
          <w:rFonts w:ascii="Arial" w:cs="Arial" w:eastAsia="Arial" w:hAnsi="Arial"/>
          <w:sz w:val="12"/>
          <w:szCs w:val="12"/>
          <w:color w:val="auto"/>
        </w:rPr>
      </w:pPr>
    </w:p>
    <w:p>
      <w:pPr>
        <w:ind w:left="720" w:hanging="362"/>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files regular, publicly available reports with state agencies which disclose the Company's state lobbying activities according to pertinent state laws.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B2E5"/>
        </w:rPr>
        <w:t>Providing additional disclosure of AECOM's political contributions would not be in the best interests of the Company or our stockholders.</w:t>
      </w:r>
    </w:p>
    <w:p>
      <w:pPr>
        <w:spacing w:after="0" w:line="145"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The expanded disclosure requested by this proposal could place AECOM at a competitive disadvantage by revealing strategies and priorities designed to protect the economic future of the Company, our stockholders and employees. Because parties with interests adverse to AECOM also participate in the political process to their business advantage, any unilateral expanded disclosure could benefit these adverse parties, while harming the interests of AECOM and our stockholders.</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Additionally, requiring the Company to specifically disclose payments made to industry associations may be misleading to stockholders. Membership in these associations comes with the understanding that we may not always agree with all of the positions of the associations or other members of such groups. As a result, such disclosure is not necessarily indicative of our position on any particular issue.</w:t>
      </w:r>
    </w:p>
    <w:p>
      <w:pPr>
        <w:spacing w:after="0" w:line="104"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color w:val="auto"/>
        </w:rPr>
        <w:t>Finally, in light of the fact that much of the Company's lobbying activities are publicly disclosed as required by law and as described above, assembling a separate lobbying disclosure report would not be a prudent use of the Company's human and financial resources, and accordingly would not be in the best interest of the Company or our stockholders.</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For the reasons set forth above, the Board believes that the adoption of the Proposal is unnecessary, would not provide any meaningful benefit to stockholders and is not in the best interests of the Company, our stockholders or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76770" cy="11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Vote Required and 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ind w:right="20"/>
        <w:spacing w:after="0" w:line="321" w:lineRule="auto"/>
        <w:rPr>
          <w:sz w:val="20"/>
          <w:szCs w:val="20"/>
          <w:color w:val="auto"/>
        </w:rPr>
      </w:pPr>
      <w:r>
        <w:rPr>
          <w:rFonts w:ascii="Arial" w:cs="Arial" w:eastAsia="Arial" w:hAnsi="Arial"/>
          <w:sz w:val="11"/>
          <w:szCs w:val="11"/>
          <w:color w:val="auto"/>
        </w:rPr>
        <w:t>The affirmative vote of a majority of the shares present or represented by proxy and entitled to vote at the 2021 Annual Meeting is required to approve the stockholder proposal. Abstentions will be counted as present and will have the effect of a vote against the proposal. Broker non-votes will not be counted as participating in the voting on the proposal and will therefore have no effect on the outcome of the vote on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55245</wp:posOffset>
            </wp:positionV>
            <wp:extent cx="7183755" cy="1517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3755" cy="151765"/>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 xml:space="preserve">The Board of Directors recommends that you vote </w:t>
      </w:r>
      <w:r>
        <w:rPr>
          <w:rFonts w:ascii="Arial" w:cs="Arial" w:eastAsia="Arial" w:hAnsi="Arial"/>
          <w:sz w:val="12"/>
          <w:szCs w:val="12"/>
          <w:b w:val="1"/>
          <w:bCs w:val="1"/>
          <w:u w:val="single" w:color="auto"/>
          <w:color w:val="auto"/>
        </w:rPr>
        <w:t>AGAINST</w:t>
      </w:r>
      <w:r>
        <w:rPr>
          <w:rFonts w:ascii="Arial" w:cs="Arial" w:eastAsia="Arial" w:hAnsi="Arial"/>
          <w:sz w:val="12"/>
          <w:szCs w:val="12"/>
          <w:b w:val="1"/>
          <w:bCs w:val="1"/>
          <w:color w:val="auto"/>
        </w:rPr>
        <w:t xml:space="preserve"> the stockholder proposal.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4" w:name="page55"/>
    <w:bookmarkEnd w:id="54"/>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176770" cy="11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During our fiscal year ended September 30, 2020, our Board met nine times, the Audit Committee met five times, the Compensation Committee met eight times, the Nominating Committee met three times and the Safety, Risk and Sustainability Committee met three times. The Safety, Risk and Sustainability Committee was named the Strategy, Risk and Safety Committee during our fiscal year ended September 30, 2020. In November 2020, our Board renamed such Committee and modified the scope of its responsibility, as described further below under "Committees of the Board of Directors." Each incumbent director attended 100% of (except for one director who attended less than 100% and more than 75% of) the aggregate of (1) the total number of meetings of our Board and (2) the total number of meetings held by all standing committees of the Board on which he or she served during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7176770" cy="11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Eight of the 11 director nominees are independent directors as defined in accordance with the listing standards of the NYSE. These standards provide that a director is independent only if our Board affirmatively determines that the director has no direct or indirect material relationship with the Company. They also specify various relationships that preclude a determination of director independence. Material relationships may include commercial, industrial, consulting, legal, accounting, charitable, family and other business, professional and personal relationships.</w:t>
      </w:r>
    </w:p>
    <w:p>
      <w:pPr>
        <w:spacing w:after="0" w:line="114" w:lineRule="exact"/>
        <w:rPr>
          <w:sz w:val="20"/>
          <w:szCs w:val="20"/>
          <w:color w:val="auto"/>
        </w:rPr>
      </w:pPr>
    </w:p>
    <w:p>
      <w:pPr>
        <w:jc w:val="both"/>
        <w:ind w:right="20"/>
        <w:spacing w:after="0" w:line="247" w:lineRule="auto"/>
        <w:rPr>
          <w:sz w:val="20"/>
          <w:szCs w:val="20"/>
          <w:color w:val="auto"/>
        </w:rPr>
      </w:pPr>
      <w:r>
        <w:rPr>
          <w:rFonts w:ascii="Arial" w:cs="Arial" w:eastAsia="Arial" w:hAnsi="Arial"/>
          <w:sz w:val="12"/>
          <w:szCs w:val="12"/>
          <w:color w:val="auto"/>
        </w:rPr>
        <w:t>Applying these standards, our Board, upon the recommendation of our Nominating Committee, annually reviews the independence of our directors. In its most recent review, our Board considered, among other things, the employment relationships between the Company and our directors and their families; the other specific relationships that would preclude a determination of independence under the NYSE independence rules; any affiliation of the Company's directors and their families with the Company's independent registered public accounting firm, compensation consultants, legal counsel and other consultants and advisors; any transactions with directors and members of their families that would require disclosure in this Proxy Statement under U.S. Securities and Exchange Commission ("SEC") rules regarding related party transactions; and the modest amount of our contributions to non-profit organizations of which some of our directors or members of their families are associated.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The Board determined that the following director nominees are independent as determined by the standards of the NYSE: Bradley W. Buss, Robert G. Card, Diane C. Creel, Jacqueline C. Hinman, Clarence T.</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Schmitz, Douglas W. Stotlar, Sander van't Noordende and General Janet C. Wolfenbarger.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90170</wp:posOffset>
            </wp:positionV>
            <wp:extent cx="7176770" cy="114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roles of Chairman and Chief Executive Officer were separated in August 2020 upon the appointment of W. Troy Rudd as Chief Executive Officer. At such time, Douglas W. Stotlar was appointed Chairman of the Board. Prior to such time, Michael S. Burke simultaneously held the roles of Chairman of the Board and Chief Executive Officer. James H. Fordyce served as the lead independent director until his resignation in November 2019. Mr. Fordyce was succeeded by Steven A. Kandarian, who served as the lead independent director until Mr. Stotlar was appointed Chairman of the Board in August 2020.</w:t>
      </w:r>
    </w:p>
    <w:p>
      <w:pPr>
        <w:spacing w:after="0" w:line="114"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The Board has been, and continues to be, a proponent of Board independence. The Company's corporate governance structures and practices provide for a strong, independent Board and include several independent oversight mechanisms, including only independent directors serving as committee chairs and the directors' and committees' ability to engage independent consultants and advisors. The Audit, Compensation and Nominating Committees are composed entirely of independent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5" w:name="page56"/>
    <w:bookmarkEnd w:id="55"/>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76770" cy="11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Executive sessions of non-employee directors are included on the agenda for every regularly scheduled Board meeting and, during fiscal year 2020, executive sessions were held at each regularly scheduled Board meeting. Executive sessions are chaired by the Chairman and were chaired by the lead independent director prior to the Chairman's appointment in August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76770" cy="11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The Board plays an active role, both as a whole and at the committee level, in overseeing management of the Company's risks. Management is responsible for the Company's day-to-day risk-management activities. The Company relies on a comprehensive risk management process to aggregate, monitor, measure and manage risks. The risk management process is designed to enable the Board to establish a mutual understanding with management of the effectiveness of the Company's risk management practices and capabilities, to review the Company's risk exposure and to elevate certain key risks for discussion at the Board level. The full Board monitors risk through regular reports from each of the committee chairs and is apprised of particular risk management matters in connection with its general oversight and approval of corporate matters, as disclosed in the below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83185</wp:posOffset>
            </wp:positionV>
            <wp:extent cx="3958590" cy="22453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958590" cy="2245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We believe the division of risk management responsibilities described above provides an effective framework for evaluating and addressing the risks facing the Company, and that our Board leadership structure supports this approach because it allows our independent directors, through the independent committee chairs, to exercise effective oversight of the actions of management. The Safety, Risk and Sustainability Committee, as well as other members of the Board, receive updates from the Company's Chief Information Security Officer on the overall cybersecurity risk environment including the Company's enterprise-wide cybersecurity risk assessment results and key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76770" cy="11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Risk Assessment of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In fiscal year 2020, the Compensation Committee's independent consultant, Exequity LLP, conducted a risk assessment of the Company's compensation policies and practices as they apply to all employees, including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6" w:name="page57"/>
    <w:bookmarkEnd w:id="56"/>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executive officers. Exequity LLP reviewed the design features and performance metrics of our cash and stock-based incentive programs, along with the approval mechanisms associated with each, to determine whether any of these policies and practices could create risks that are reasonably likely to have a material adverse effect on the Company.</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As part of the review, several factors were noted that reduce the likelihood of excessive risk-taking:</w:t>
      </w:r>
    </w:p>
    <w:p>
      <w:pPr>
        <w:spacing w:after="0" w:line="145" w:lineRule="exact"/>
        <w:rPr>
          <w:sz w:val="20"/>
          <w:szCs w:val="20"/>
          <w:color w:val="auto"/>
        </w:rPr>
      </w:pPr>
    </w:p>
    <w:p>
      <w:pPr>
        <w:ind w:left="720" w:right="20" w:hanging="362"/>
        <w:spacing w:after="0" w:line="274" w:lineRule="auto"/>
        <w:tabs>
          <w:tab w:leader="none" w:pos="7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compensation mix is balanced among fixed components such as salary and benefits, annual incentive payments and long-term incentives, including Performance Earning Program ("PEP") awards and restricted stock units granted under our 2020 Stock Incentive Plan, which typically vest or are earned over three years.</w:t>
      </w:r>
    </w:p>
    <w:p>
      <w:pPr>
        <w:spacing w:after="0" w:line="104" w:lineRule="exact"/>
        <w:rPr>
          <w:rFonts w:ascii="Arial" w:cs="Arial" w:eastAsia="Arial" w:hAnsi="Arial"/>
          <w:sz w:val="12"/>
          <w:szCs w:val="12"/>
          <w:color w:val="auto"/>
        </w:rPr>
      </w:pPr>
    </w:p>
    <w:p>
      <w:pPr>
        <w:ind w:left="720" w:hanging="362"/>
        <w:spacing w:after="0" w:line="274" w:lineRule="auto"/>
        <w:tabs>
          <w:tab w:leader="none" w:pos="7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Compensation Committee has ultimate authority to determine, and reduce, if appropriate and consistent with applicable arrangements, compensation provided to our executive officers, including each of the NEOs.</w:t>
      </w:r>
    </w:p>
    <w:p>
      <w:pPr>
        <w:spacing w:after="0" w:line="95" w:lineRule="exact"/>
        <w:rPr>
          <w:rFonts w:ascii="Arial" w:cs="Arial" w:eastAsia="Arial" w:hAnsi="Arial"/>
          <w:sz w:val="12"/>
          <w:szCs w:val="12"/>
          <w:color w:val="auto"/>
        </w:rPr>
      </w:pPr>
    </w:p>
    <w:p>
      <w:pPr>
        <w:ind w:left="720" w:right="20" w:hanging="362"/>
        <w:spacing w:after="0" w:line="274" w:lineRule="auto"/>
        <w:tabs>
          <w:tab w:leader="none" w:pos="7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Compensation Committee, under its charter, has the authority to retain any advisor it deems necessary to fulfill its obligations and has engaged Exequity LLP as its independent consultant. Exequity performs services for the Compensation Committee as described in the "COMPENSATION DISCUSSION AND ANALYSIS" section of this Proxy Statement.</w:t>
      </w:r>
    </w:p>
    <w:p>
      <w:pPr>
        <w:spacing w:after="0" w:line="95" w:lineRule="exact"/>
        <w:rPr>
          <w:rFonts w:ascii="Arial" w:cs="Arial" w:eastAsia="Arial" w:hAnsi="Arial"/>
          <w:sz w:val="12"/>
          <w:szCs w:val="12"/>
          <w:color w:val="auto"/>
        </w:rPr>
      </w:pPr>
    </w:p>
    <w:p>
      <w:pPr>
        <w:ind w:left="720" w:hanging="362"/>
        <w:spacing w:after="0" w:line="274" w:lineRule="auto"/>
        <w:tabs>
          <w:tab w:leader="none" w:pos="7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annual incentive programs for employees are funded in the aggregate based on the results of key financial metrics. Individual payouts are based on a combination of financial metrics as well as qualitative factors.</w:t>
      </w:r>
    </w:p>
    <w:p>
      <w:pPr>
        <w:spacing w:after="0" w:line="104" w:lineRule="exact"/>
        <w:rPr>
          <w:rFonts w:ascii="Arial" w:cs="Arial" w:eastAsia="Arial" w:hAnsi="Arial"/>
          <w:sz w:val="12"/>
          <w:szCs w:val="12"/>
          <w:color w:val="auto"/>
        </w:rPr>
      </w:pPr>
    </w:p>
    <w:p>
      <w:pPr>
        <w:ind w:left="720" w:hanging="362"/>
        <w:spacing w:after="0" w:line="274" w:lineRule="auto"/>
        <w:tabs>
          <w:tab w:leader="none" w:pos="7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long-term equity incentive awards, including PEP awards and restricted stock units granted under our stockholder approved 2020 Stock Incentive Plan, are all approved by either the Compensation Committee for our executive officers or by our Chief Executive Officer for non-executive officers.</w:t>
      </w:r>
    </w:p>
    <w:p>
      <w:pPr>
        <w:spacing w:after="0" w:line="95" w:lineRule="exact"/>
        <w:rPr>
          <w:rFonts w:ascii="Arial" w:cs="Arial" w:eastAsia="Arial" w:hAnsi="Arial"/>
          <w:sz w:val="12"/>
          <w:szCs w:val="12"/>
          <w:color w:val="auto"/>
        </w:rPr>
      </w:pPr>
    </w:p>
    <w:p>
      <w:pPr>
        <w:ind w:left="720" w:hanging="362"/>
        <w:spacing w:after="0"/>
        <w:tabs>
          <w:tab w:leader="none" w:pos="7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NEOs are subject to stock ownership guidelines, our insider trading policy and our clawback policy.</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Based on this assessment, the Company concluded that its compensation policies and practices do not create risks that are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76770" cy="114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The Board has four standing committees: the Audit Committee, the Compensation Committee, the Nominating Committee and the Safety, Risk and Sustainability Committee. In accordance with NYSE regulations, each member of the Audit Committee, the Compensation Committee, and the Nominating Committee has been determined by our Board to be "independent." The committees operate under written charters that are available for viewing on the "Corporate Governance" area of the "Investors" section of our website at </w:t>
      </w:r>
      <w:r>
        <w:rPr>
          <w:rFonts w:ascii="Arial" w:cs="Arial" w:eastAsia="Arial" w:hAnsi="Arial"/>
          <w:sz w:val="12"/>
          <w:szCs w:val="12"/>
          <w:i w:val="1"/>
          <w:iCs w:val="1"/>
          <w:color w:val="auto"/>
        </w:rPr>
        <w:t>www.aecom.com</w:t>
      </w:r>
      <w:r>
        <w:rPr>
          <w:rFonts w:ascii="Arial" w:cs="Arial" w:eastAsia="Arial" w:hAnsi="Arial"/>
          <w:sz w:val="12"/>
          <w:szCs w:val="12"/>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members of each of the standing committees are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Audit Committee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Clarence T. Schmitz, </w:t>
      </w:r>
      <w:r>
        <w:rPr>
          <w:rFonts w:ascii="Arial" w:cs="Arial" w:eastAsia="Arial" w:hAnsi="Arial"/>
          <w:sz w:val="12"/>
          <w:szCs w:val="12"/>
          <w:i w:val="1"/>
          <w:iCs w:val="1"/>
          <w:color w:val="auto"/>
        </w:rPr>
        <w:t>Chair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Robert G. Card</w:t>
      </w:r>
    </w:p>
    <w:p>
      <w:pPr>
        <w:spacing w:after="0" w:line="237" w:lineRule="auto"/>
        <w:rPr>
          <w:sz w:val="20"/>
          <w:szCs w:val="20"/>
          <w:color w:val="auto"/>
        </w:rPr>
      </w:pPr>
      <w:r>
        <w:rPr>
          <w:rFonts w:ascii="Arial" w:cs="Arial" w:eastAsia="Arial" w:hAnsi="Arial"/>
          <w:sz w:val="12"/>
          <w:szCs w:val="12"/>
          <w:color w:val="auto"/>
        </w:rPr>
        <w:t>Steven A. Kandarian</w:t>
      </w:r>
    </w:p>
    <w:p>
      <w:pPr>
        <w:spacing w:after="0"/>
        <w:rPr>
          <w:sz w:val="20"/>
          <w:szCs w:val="20"/>
          <w:color w:val="auto"/>
        </w:rPr>
      </w:pPr>
      <w:r>
        <w:rPr>
          <w:rFonts w:ascii="Arial" w:cs="Arial" w:eastAsia="Arial" w:hAnsi="Arial"/>
          <w:sz w:val="12"/>
          <w:szCs w:val="12"/>
          <w:color w:val="auto"/>
        </w:rPr>
        <w:t>Douglas W. Stotlar</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Compensation and Organization Committee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Steven A. Kandarian, </w:t>
      </w:r>
      <w:r>
        <w:rPr>
          <w:rFonts w:ascii="Arial" w:cs="Arial" w:eastAsia="Arial" w:hAnsi="Arial"/>
          <w:sz w:val="12"/>
          <w:szCs w:val="12"/>
          <w:i w:val="1"/>
          <w:iCs w:val="1"/>
          <w:color w:val="auto"/>
        </w:rPr>
        <w:t>Chair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Bradley W. Buss</w:t>
      </w:r>
    </w:p>
    <w:p>
      <w:pPr>
        <w:spacing w:after="0" w:line="237" w:lineRule="auto"/>
        <w:rPr>
          <w:sz w:val="20"/>
          <w:szCs w:val="20"/>
          <w:color w:val="auto"/>
        </w:rPr>
      </w:pPr>
      <w:r>
        <w:rPr>
          <w:rFonts w:ascii="Arial" w:cs="Arial" w:eastAsia="Arial" w:hAnsi="Arial"/>
          <w:sz w:val="12"/>
          <w:szCs w:val="12"/>
          <w:color w:val="auto"/>
        </w:rPr>
        <w:t>Jacqueline C. Hinman</w:t>
      </w:r>
    </w:p>
    <w:p>
      <w:pPr>
        <w:spacing w:after="0"/>
        <w:rPr>
          <w:sz w:val="20"/>
          <w:szCs w:val="20"/>
          <w:color w:val="auto"/>
        </w:rPr>
      </w:pPr>
      <w:r>
        <w:rPr>
          <w:rFonts w:ascii="Arial" w:cs="Arial" w:eastAsia="Arial" w:hAnsi="Arial"/>
          <w:sz w:val="12"/>
          <w:szCs w:val="12"/>
          <w:color w:val="auto"/>
        </w:rPr>
        <w:t>Dr. Robert J. Routs</w:t>
      </w:r>
    </w:p>
    <w:p>
      <w:pPr>
        <w:spacing w:after="0"/>
        <w:rPr>
          <w:sz w:val="20"/>
          <w:szCs w:val="20"/>
          <w:color w:val="auto"/>
        </w:rPr>
      </w:pPr>
      <w:r>
        <w:rPr>
          <w:rFonts w:ascii="Arial" w:cs="Arial" w:eastAsia="Arial" w:hAnsi="Arial"/>
          <w:sz w:val="12"/>
          <w:szCs w:val="12"/>
          <w:color w:val="auto"/>
        </w:rPr>
        <w:t>Clarence T. Schmitz</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7" w:name="page58"/>
    <w:bookmarkEnd w:id="57"/>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Nominating and Governance Committee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Douglas W. Stotlar, </w:t>
      </w:r>
      <w:r>
        <w:rPr>
          <w:rFonts w:ascii="Arial" w:cs="Arial" w:eastAsia="Arial" w:hAnsi="Arial"/>
          <w:sz w:val="12"/>
          <w:szCs w:val="12"/>
          <w:i w:val="1"/>
          <w:iCs w:val="1"/>
          <w:color w:val="auto"/>
        </w:rPr>
        <w:t>Chair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Bradley W. Buss</w:t>
      </w:r>
    </w:p>
    <w:p>
      <w:pPr>
        <w:spacing w:after="0" w:line="237" w:lineRule="auto"/>
        <w:rPr>
          <w:sz w:val="20"/>
          <w:szCs w:val="20"/>
          <w:color w:val="auto"/>
        </w:rPr>
      </w:pPr>
      <w:r>
        <w:rPr>
          <w:rFonts w:ascii="Arial" w:cs="Arial" w:eastAsia="Arial" w:hAnsi="Arial"/>
          <w:sz w:val="12"/>
          <w:szCs w:val="12"/>
          <w:color w:val="auto"/>
        </w:rPr>
        <w:t>Robert G. Card</w:t>
      </w:r>
    </w:p>
    <w:p>
      <w:pPr>
        <w:spacing w:after="0"/>
        <w:rPr>
          <w:sz w:val="20"/>
          <w:szCs w:val="20"/>
          <w:color w:val="auto"/>
        </w:rPr>
      </w:pPr>
      <w:r>
        <w:rPr>
          <w:rFonts w:ascii="Arial" w:cs="Arial" w:eastAsia="Arial" w:hAnsi="Arial"/>
          <w:sz w:val="12"/>
          <w:szCs w:val="12"/>
          <w:color w:val="auto"/>
        </w:rPr>
        <w:t>General Janet C. Wolfenbarger, USAF Retired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Safety, Risk and Sustainability Committee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Dr. Robert J. Routs, </w:t>
      </w:r>
      <w:r>
        <w:rPr>
          <w:rFonts w:ascii="Arial" w:cs="Arial" w:eastAsia="Arial" w:hAnsi="Arial"/>
          <w:sz w:val="12"/>
          <w:szCs w:val="12"/>
          <w:i w:val="1"/>
          <w:iCs w:val="1"/>
          <w:color w:val="auto"/>
        </w:rPr>
        <w:t>Chair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Jacqueline C. Hinman</w:t>
      </w:r>
    </w:p>
    <w:p>
      <w:pPr>
        <w:spacing w:after="0" w:line="237" w:lineRule="auto"/>
        <w:rPr>
          <w:sz w:val="20"/>
          <w:szCs w:val="20"/>
          <w:color w:val="auto"/>
        </w:rPr>
      </w:pPr>
      <w:r>
        <w:rPr>
          <w:rFonts w:ascii="Arial" w:cs="Arial" w:eastAsia="Arial" w:hAnsi="Arial"/>
          <w:sz w:val="12"/>
          <w:szCs w:val="12"/>
          <w:color w:val="auto"/>
        </w:rPr>
        <w:t>Lydia H. Kennard</w:t>
      </w:r>
    </w:p>
    <w:p>
      <w:pPr>
        <w:spacing w:after="0"/>
        <w:rPr>
          <w:sz w:val="20"/>
          <w:szCs w:val="20"/>
          <w:color w:val="auto"/>
        </w:rPr>
      </w:pPr>
      <w:r>
        <w:rPr>
          <w:rFonts w:ascii="Arial" w:cs="Arial" w:eastAsia="Arial" w:hAnsi="Arial"/>
          <w:sz w:val="12"/>
          <w:szCs w:val="12"/>
          <w:color w:val="auto"/>
        </w:rPr>
        <w:t>Daniel R. Tishman</w:t>
      </w:r>
    </w:p>
    <w:p>
      <w:pPr>
        <w:spacing w:after="0"/>
        <w:rPr>
          <w:sz w:val="20"/>
          <w:szCs w:val="20"/>
          <w:color w:val="auto"/>
        </w:rPr>
      </w:pPr>
      <w:r>
        <w:rPr>
          <w:rFonts w:ascii="Arial" w:cs="Arial" w:eastAsia="Arial" w:hAnsi="Arial"/>
          <w:sz w:val="12"/>
          <w:szCs w:val="12"/>
          <w:color w:val="auto"/>
        </w:rPr>
        <w:t>General Janet C. Wolfenbarger, USAF Retired</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b w:val="1"/>
          <w:bCs w:val="1"/>
          <w:i w:val="1"/>
          <w:iCs w:val="1"/>
          <w:color w:val="00B2E5"/>
        </w:rPr>
        <w:t xml:space="preserve">Audit Committee. </w:t>
      </w:r>
      <w:r>
        <w:rPr>
          <w:rFonts w:ascii="Arial" w:cs="Arial" w:eastAsia="Arial" w:hAnsi="Arial"/>
          <w:sz w:val="12"/>
          <w:szCs w:val="12"/>
          <w:color w:val="000000"/>
        </w:rPr>
        <w:t>The Audit Committee, which is composed solely of independent directors as defined under Rule 10A-3(b)(1) of the rules of the U.S. Securities and Exchange Commission and the regulations of</w:t>
      </w:r>
      <w:r>
        <w:rPr>
          <w:rFonts w:ascii="Arial" w:cs="Arial" w:eastAsia="Arial" w:hAnsi="Arial"/>
          <w:sz w:val="12"/>
          <w:szCs w:val="12"/>
          <w:b w:val="1"/>
          <w:bCs w:val="1"/>
          <w:i w:val="1"/>
          <w:iCs w:val="1"/>
          <w:color w:val="00B2E5"/>
        </w:rPr>
        <w:t xml:space="preserve"> </w:t>
      </w:r>
      <w:r>
        <w:rPr>
          <w:rFonts w:ascii="Arial" w:cs="Arial" w:eastAsia="Arial" w:hAnsi="Arial"/>
          <w:sz w:val="12"/>
          <w:szCs w:val="12"/>
          <w:color w:val="000000"/>
        </w:rPr>
        <w:t>the NYSE, appoints the Company's independent auditors, reviews the results and scope of the audit of our financial statements as well as other services provided by our independent auditors, reviews and approves audit fees and all non-audit services as well as reviews and evaluates our audit and control functions, including our internal audit function. Our Audit Committee held five meetings during fiscal year 2020. Our Board has determined that Mr. Schmitz, Chair of the Audit Committee qualifies as an "audit committee financial expert" as defined by the rules under the Exchange Act. The "REPORT OF THE AUDIT COMMITTEE OF THE BOARD OF DIRECTORS" is included in this Proxy Statement.</w:t>
      </w:r>
    </w:p>
    <w:p>
      <w:pPr>
        <w:spacing w:after="0" w:line="119" w:lineRule="exact"/>
        <w:rPr>
          <w:sz w:val="20"/>
          <w:szCs w:val="20"/>
          <w:color w:val="auto"/>
        </w:rPr>
      </w:pPr>
    </w:p>
    <w:p>
      <w:pPr>
        <w:jc w:val="both"/>
        <w:spacing w:after="0" w:line="245" w:lineRule="auto"/>
        <w:rPr>
          <w:sz w:val="20"/>
          <w:szCs w:val="20"/>
          <w:color w:val="auto"/>
        </w:rPr>
      </w:pPr>
      <w:r>
        <w:rPr>
          <w:rFonts w:ascii="Arial" w:cs="Arial" w:eastAsia="Arial" w:hAnsi="Arial"/>
          <w:sz w:val="12"/>
          <w:szCs w:val="12"/>
          <w:b w:val="1"/>
          <w:bCs w:val="1"/>
          <w:i w:val="1"/>
          <w:iCs w:val="1"/>
          <w:color w:val="00B2E5"/>
        </w:rPr>
        <w:t xml:space="preserve">Compensation and Organization Committee. </w:t>
      </w:r>
      <w:r>
        <w:rPr>
          <w:rFonts w:ascii="Arial" w:cs="Arial" w:eastAsia="Arial" w:hAnsi="Arial"/>
          <w:sz w:val="12"/>
          <w:szCs w:val="12"/>
          <w:color w:val="000000"/>
        </w:rPr>
        <w:t>The Compensation Committee, which is composed solely of independent directors as defined under the regulations of the NYSE, non-employee directors, as defined</w:t>
      </w:r>
      <w:r>
        <w:rPr>
          <w:rFonts w:ascii="Arial" w:cs="Arial" w:eastAsia="Arial" w:hAnsi="Arial"/>
          <w:sz w:val="12"/>
          <w:szCs w:val="12"/>
          <w:b w:val="1"/>
          <w:bCs w:val="1"/>
          <w:i w:val="1"/>
          <w:iCs w:val="1"/>
          <w:color w:val="00B2E5"/>
        </w:rPr>
        <w:t xml:space="preserve"> </w:t>
      </w:r>
      <w:r>
        <w:rPr>
          <w:rFonts w:ascii="Arial" w:cs="Arial" w:eastAsia="Arial" w:hAnsi="Arial"/>
          <w:sz w:val="12"/>
          <w:szCs w:val="12"/>
          <w:color w:val="000000"/>
        </w:rPr>
        <w:t>under Rule 16b-3 of the Exchange Act, and outside directors for purposes of grandfathering provisions under Section 162(m) of the Code, oversees our compensation plans. Such oversight includes decisions regarding executive management salaries, incentive compensation and long-term compensation plans, as well as Company-wide equity plans for our employees. This committee also reviews the Board's compensation plan for non-employee directors and determines whether independent compensation consultants should be utilized. For further information regarding the Compensation Committee's processes and procedures for determining executive and non-employee director compensation, see the "COMPENSATION DISCUSSION AND ANALYSIS" section of this Proxy Statement. Our Compensation Committee held eight meetings during fiscal year 2020. The "REPORT OF THE COMPENSATION AND ORGANIZATION COMMITTEE OF THE BOARD OF DIRECTORS" is included in this Proxy Statement.</w:t>
      </w:r>
    </w:p>
    <w:p>
      <w:pPr>
        <w:spacing w:after="0" w:line="12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b w:val="1"/>
          <w:bCs w:val="1"/>
          <w:i w:val="1"/>
          <w:iCs w:val="1"/>
          <w:color w:val="00B2E5"/>
        </w:rPr>
        <w:t xml:space="preserve">Nominating and Governance Committee. </w:t>
      </w:r>
      <w:r>
        <w:rPr>
          <w:rFonts w:ascii="Arial" w:cs="Arial" w:eastAsia="Arial" w:hAnsi="Arial"/>
          <w:sz w:val="12"/>
          <w:szCs w:val="12"/>
          <w:color w:val="000000"/>
        </w:rPr>
        <w:t>The Nominating Committee is composed solely of independent directors as defined under the regulations of the NYSE and is responsible for recruiting and retaining</w:t>
      </w:r>
      <w:r>
        <w:rPr>
          <w:rFonts w:ascii="Arial" w:cs="Arial" w:eastAsia="Arial" w:hAnsi="Arial"/>
          <w:sz w:val="12"/>
          <w:szCs w:val="12"/>
          <w:b w:val="1"/>
          <w:bCs w:val="1"/>
          <w:i w:val="1"/>
          <w:iCs w:val="1"/>
          <w:color w:val="00B2E5"/>
        </w:rPr>
        <w:t xml:space="preserve"> </w:t>
      </w:r>
      <w:r>
        <w:rPr>
          <w:rFonts w:ascii="Arial" w:cs="Arial" w:eastAsia="Arial" w:hAnsi="Arial"/>
          <w:sz w:val="12"/>
          <w:szCs w:val="12"/>
          <w:color w:val="000000"/>
        </w:rPr>
        <w:t>qualified persons to serve on our Board, including recommending such individuals to the Board for nomination for election as directors; for evaluating director independence; and for oversight of our compliance activities. The Nominating Committee also considers written suggestions from stockholders, including potential nominees for election, and oversees other governance programs such as the Company's Corporate Governance Guidelines. This committee also conducts performance evaluations for directors being elected at each annual meeting of stockholders, and engages in succession planning for the Board and key leadership roles on the Board and its committees. Our Nominating Committee held three meetings during fiscal year 2020.</w:t>
      </w:r>
    </w:p>
    <w:p>
      <w:pPr>
        <w:spacing w:after="0" w:line="119"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b w:val="1"/>
          <w:bCs w:val="1"/>
          <w:i w:val="1"/>
          <w:iCs w:val="1"/>
          <w:color w:val="00B2E5"/>
        </w:rPr>
        <w:t xml:space="preserve">Safety, Risk and Sustainability Committee. </w:t>
      </w:r>
      <w:r>
        <w:rPr>
          <w:rFonts w:ascii="Arial" w:cs="Arial" w:eastAsia="Arial" w:hAnsi="Arial"/>
          <w:sz w:val="12"/>
          <w:szCs w:val="12"/>
          <w:color w:val="000000"/>
        </w:rPr>
        <w:t>The Safety, Risk and Sustainability Committee oversees our corporate risk management, safety and sustainability programs and reviews the Company's overall policies</w:t>
      </w:r>
      <w:r>
        <w:rPr>
          <w:rFonts w:ascii="Arial" w:cs="Arial" w:eastAsia="Arial" w:hAnsi="Arial"/>
          <w:sz w:val="12"/>
          <w:szCs w:val="12"/>
          <w:b w:val="1"/>
          <w:bCs w:val="1"/>
          <w:i w:val="1"/>
          <w:iCs w:val="1"/>
          <w:color w:val="00B2E5"/>
        </w:rPr>
        <w:t xml:space="preserve"> </w:t>
      </w:r>
      <w:r>
        <w:rPr>
          <w:rFonts w:ascii="Arial" w:cs="Arial" w:eastAsia="Arial" w:hAnsi="Arial"/>
          <w:sz w:val="12"/>
          <w:szCs w:val="12"/>
          <w:color w:val="000000"/>
        </w:rPr>
        <w:t>regarding safety, cybersecurity, enterprise risk management, and environmental and social programs. Our Safety, Risk and Sustainability Committee held three meetings during fiscal year 2020.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8" w:name="page59"/>
    <w:bookmarkEnd w:id="58"/>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76770" cy="114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 xml:space="preserve">Our Board has adopted the Corporate Governance Guidelines, which set forth several important principles regarding our Board and its committees, including Board of Director membership criteria as well as other matters. Our Corporate Governance Guidelines are available for viewing on the "Corporate Governance" area of the "Investors" section of our website at </w:t>
      </w:r>
      <w:r>
        <w:rPr>
          <w:rFonts w:ascii="Arial" w:cs="Arial" w:eastAsia="Arial" w:hAnsi="Arial"/>
          <w:sz w:val="12"/>
          <w:szCs w:val="12"/>
          <w:i w:val="1"/>
          <w:iCs w:val="1"/>
          <w:color w:val="auto"/>
        </w:rPr>
        <w:t>www.aecom.com</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76770" cy="11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Codes of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 have adopted a Code of Conduct that describes the professional, legal, ethical, financial and social responsibilities of all of our directors, officers and employees. We require all of our directors, officers and employees to read and acknowledge the Code of Conduct, and we provide regular compliance training to all our directors, officers and employees. Our directors, officers and employees are also encouraged to report suspected violations of the Code of Conduct through various means, including a toll-free hotline available 24 hour, 7 days a week in multiple languages, and they may do so anonymously. We do not tolerate acts of retaliation against anyone who makes an honest and sincere report of a possible violation of law or of our Code of Conduct or policies, or who participates in an investigation of possible wrongdoing. Many countries have enacted legislation to protect those who report misconduct, and we enforce any applicable protections afforded by such laws.</w:t>
      </w:r>
    </w:p>
    <w:p>
      <w:pPr>
        <w:spacing w:after="0" w:line="119"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 xml:space="preserve">We also obtain year end affirmations from management personnel confirming compliance with the Code of Conduct. If we make substantive amendments to the Code of Conduct or grant any waiver, including any implicit waiver, to our principal executive, financial or accounting officer or persons performing similar functions or any director, we will disclose the nature of such amendment or waiver in a press release, on our website and/or in a report on Form 8-K in accordance with applicable rules and regulations. In addition, we have a separate Code of Ethics for Senior Financial Officers that imposes specific standards of conduct on employees with financial reporting responsibilities. We also have an Anticorruption Policy that provides specific guidance to help ensure that lawful and ethical business practices are followed while conducting international business activities. Our various policies are available for viewing on the "Ethics and Compliance" section of our website at </w:t>
      </w:r>
      <w:r>
        <w:rPr>
          <w:rFonts w:ascii="Arial" w:cs="Arial" w:eastAsia="Arial" w:hAnsi="Arial"/>
          <w:sz w:val="12"/>
          <w:szCs w:val="12"/>
          <w:i w:val="1"/>
          <w:iCs w:val="1"/>
          <w:color w:val="auto"/>
        </w:rPr>
        <w:t>www.aecom.com</w:t>
      </w:r>
      <w:r>
        <w:rPr>
          <w:rFonts w:ascii="Arial" w:cs="Arial" w:eastAsia="Arial" w:hAnsi="Arial"/>
          <w:sz w:val="12"/>
          <w:szCs w:val="12"/>
          <w:color w:val="auto"/>
        </w:rPr>
        <w:t xml:space="preserve"> and in print to any stockholder that requests it. Any such request should be addressed to AECOM, 300 South Grand Avenue, 9th Floor, Los Angeles, California 90071, Attention: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7176770" cy="114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stockholders or other interested parties may communicate with our Board, a committee of our Board or one or more directors by sending a letter addressed to the Board, a committee of our Board or one or more directors to AECOM, 300 South Grand Avenue, 9th Floor, Los Angeles, California 90071, Attention: Corporate Secretary. All communications will be compiled by our Corporate Secretary and forwarded to the Board, the committee or the director,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80010</wp:posOffset>
            </wp:positionV>
            <wp:extent cx="7176770" cy="114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Director Nominations, Board Refresh and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The Nominating Committee is charged with identifying, reviewing and recommending to the Board qualified individuals to become directors and regularly assessing the size and composition of the Board and recommending any changes to the Board. The Nominating Committee also engages in succession planning for the Board and key leadership roles on the Board and its committees.</w:t>
      </w:r>
    </w:p>
    <w:p>
      <w:pPr>
        <w:spacing w:after="0" w:line="104" w:lineRule="exact"/>
        <w:rPr>
          <w:sz w:val="20"/>
          <w:szCs w:val="20"/>
          <w:color w:val="auto"/>
        </w:rPr>
      </w:pPr>
    </w:p>
    <w:p>
      <w:pPr>
        <w:jc w:val="both"/>
        <w:ind w:right="20"/>
        <w:spacing w:after="0" w:line="250" w:lineRule="auto"/>
        <w:rPr>
          <w:sz w:val="20"/>
          <w:szCs w:val="20"/>
          <w:color w:val="auto"/>
        </w:rPr>
      </w:pPr>
      <w:r>
        <w:rPr>
          <w:rFonts w:ascii="Arial" w:cs="Arial" w:eastAsia="Arial" w:hAnsi="Arial"/>
          <w:sz w:val="12"/>
          <w:szCs w:val="12"/>
          <w:color w:val="auto"/>
        </w:rPr>
        <w:t>The Nominating Committee reviews the appropriate skills and characteristics required of Board members in the context of the current composition of the Board, the operating requirements of the Company and the long-term interests of the Company's stockholders. In conducting this assessment, the Nominating Committee considers diversity, skills and such other factors as it deems appropriate to maintain a balance of knowledge, experience and capabilities. This periodic assessment enables the Board to update the skills and experience it seeks in the Board, as a whole and in individual directors, as the Company's needs evolve over time and to assess the effectiveness of efforts at pursuing diversity. From time to time, while identifying director candidates, the Nominating Committee may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9" w:name="page60"/>
    <w:bookmarkEnd w:id="59"/>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establish specific skills and experience that it believes the Company should seek to constitute a balanced and effective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1610360</wp:posOffset>
            </wp:positionH>
            <wp:positionV relativeFrom="paragraph">
              <wp:posOffset>99060</wp:posOffset>
            </wp:positionV>
            <wp:extent cx="3947160" cy="8858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947160" cy="885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It is our belief that members of the Board should have the highest professional and personal ethics and values. We believe that the Board should be comprised of individuals who are committed to enhancing stockholder value with sufficient time to effectively carry out their duties. While all directors should possess business acumen, the Board endeavors to include an array of targeted skills and experience in its overall composition. Criteria that the Nominating Committee looks for in director candidates include business experience and skills, judgment, integrity, an understanding of such areas as finance, marketing, regulation, end markets and public policy and the absence of potential conflicts with the Company's interests. In particular, the Nominating Committee seeks candidates that have the following key skills and experience, each of which it is views as particularly important:</w:t>
      </w:r>
    </w:p>
    <w:p>
      <w:pPr>
        <w:spacing w:after="0" w:line="119" w:lineRule="exact"/>
        <w:rPr>
          <w:sz w:val="20"/>
          <w:szCs w:val="20"/>
          <w:color w:val="auto"/>
        </w:rPr>
      </w:pPr>
    </w:p>
    <w:p>
      <w:pPr>
        <w:ind w:left="720" w:hanging="362"/>
        <w:spacing w:after="0"/>
        <w:tabs>
          <w:tab w:leader="none" w:pos="7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senior leadership experience;</w:t>
      </w:r>
    </w:p>
    <w:p>
      <w:pPr>
        <w:spacing w:after="0" w:line="144" w:lineRule="exact"/>
        <w:rPr>
          <w:rFonts w:ascii="Arial" w:cs="Arial" w:eastAsia="Arial" w:hAnsi="Arial"/>
          <w:sz w:val="12"/>
          <w:szCs w:val="12"/>
          <w:color w:val="auto"/>
        </w:rPr>
      </w:pPr>
    </w:p>
    <w:p>
      <w:pPr>
        <w:ind w:left="720" w:hanging="362"/>
        <w:spacing w:after="0"/>
        <w:tabs>
          <w:tab w:leader="none" w:pos="7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industry experience;</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public company experience;</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financial expertise;</w:t>
      </w:r>
    </w:p>
    <w:p>
      <w:pPr>
        <w:spacing w:after="0" w:line="144" w:lineRule="exact"/>
        <w:rPr>
          <w:rFonts w:ascii="Arial" w:cs="Arial" w:eastAsia="Arial" w:hAnsi="Arial"/>
          <w:sz w:val="12"/>
          <w:szCs w:val="12"/>
          <w:color w:val="auto"/>
        </w:rPr>
      </w:pPr>
    </w:p>
    <w:p>
      <w:pPr>
        <w:ind w:left="720" w:hanging="362"/>
        <w:spacing w:after="0"/>
        <w:tabs>
          <w:tab w:leader="none" w:pos="7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government/regulatory expertise; and</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international expertise.</w:t>
      </w:r>
    </w:p>
    <w:p>
      <w:pPr>
        <w:spacing w:after="0" w:line="145"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The Nominating Committee believes that it is essential that Board members represent diverse viewpoints and backgrounds. In identifying and selecting individuals, the Board and the Nominating Committee consider diversity, age, gender, skills, and such other factors as they deem appropriate to maintain a balance of knowledge, experience and capability. In addition, the Nominating Committee believes the Board should encompass individuals with diverse backgrounds and perspectives and representation of individuals from underrepresented communities. Diversity is an important consideration in the director nomination process because the Board believes that people of different genders, experiences, ages, races and ethnic backgrounds can contribute different, useful perspectives, while collaborating effectively to further the Company's objectives.</w:t>
      </w:r>
    </w:p>
    <w:p>
      <w:pPr>
        <w:spacing w:after="0" w:line="119"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Our Nominating Committee will consider stockholder nominations for directors. The Nominating Committee evaluates any such nominees that are properly submitted using the same criteria it otherwise employs, as described in our Corporate Governance Guidelines. Any recommendation submitted by a stockholder must include the same information concerning the potential candidate as is required when a stockholder wishes to nominate a candidate directly. In addition, any such recommendation must be received in the same time frame as is required by our Bylaws when a stockholder wishes to nominate a candidate directly. To be timely, the notice must be received by the close of business no fewer than 90 and no more than 120 days prior to the date of the first anniversary of the preceding year's annual meeting of stockholders. However, in the event that the date of the annual meeting is advanced more than 30 days prior to such anniversary date or delayed more than 30 days after such anniversary date, or no annual meeting was held in the preceding year, notice by the stockholder to be timely must be received no more than 120 days prior to the date of the annual meeting and not less than the later of the close of business (a) 90 days prior to the date of the annual meeting and (b) on the 10th day following the day on which public announcement of the date of such meeting was first made by the Company.</w:t>
      </w:r>
    </w:p>
    <w:p>
      <w:pPr>
        <w:spacing w:after="0" w:line="125"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color w:val="auto"/>
        </w:rPr>
        <w:t>To be in proper form, the notice must, as to each person whom the stockholder proposes to nominate for election or re-election as a director, set forth all information concerning such person as would be required in a proxy statement soliciting proxies for the election of directors in a contested election pursuant to Section 14 of the Exchange Act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0" w:name="page61"/>
    <w:bookmarkEnd w:id="60"/>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all written and signed representations and all completed and signed questionnaires required pursuant to our Bylaws. In addition, as to the stockholder giving the notice and the beneficial owner, if any, on whose behalf the nomination is being made, the notice must also state the name and address, as they appear on the Company's books, of such stockholder and such beneficial owner and the class or series and number of shares of the Company that are owned of record and beneficially by such stockholder and such beneficial owner.</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As to the stockholder giving the notice, or if the notice is on behalf of a beneficial owner on whose behalf the nomination is being made, as to such beneficial owner, and if such beneficial owner is an entity, as to each control person of such entity, the notice must state the class or series and number of shares of the Company that are owned of record and beneficially by such stockholder or beneficial owner and by any control person, a description of any agreement, arrangement or understanding with respect to the nomination between such stockholder or beneficial owner and any other person and by any control person, including, without limitation, any agreements that would be required to be disclosed pursuant to Item 5 or Item 6 of Schedule 13D (regardless of whether the requirement to file a Schedule 13D is applicable) of the Exchange Act, and a description of any agreement, arrangement or understanding (including, without limitation, any derivative or short positions, profit interests, options, hedging transactions, and borrowed or loaned shares) that has been entered into as of the date of the stockholder's notice by, or on behalf of, such stockholder, beneficial owner or control person, the effect or intent of which is to mitigate loss, manage risk or benefit from changes in the share price of any class or series of the Company's capital stock, or maintain, increase or decrease the voting power of the stockholder, beneficial owner or control person with respect to shares of stock of the Company. Stockholders who wish to nominate candidates for director must do so pursuant to these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7176770" cy="11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Board Self-Assessment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Nominating Committee facilitates an annual assessment of the performance of the Board and its committees and coordinates reports of the annual results to the full Board for discussions. The Nominating Committee also recommends changes to improve the Board and its committees. In 2020, the Nominating Committee engaged an outside law firm to obtain input from each director on the performance of the Board and its committees. In addition, each committee of the Board also conducted a self-evaluation discussion in executive session after the conclusion of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80010</wp:posOffset>
            </wp:positionV>
            <wp:extent cx="3958590" cy="18751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958590" cy="187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1" w:name="page62"/>
    <w:bookmarkEnd w:id="61"/>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76770" cy="11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Director Attendance at Annual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AECOM's policy is for directors to attend our annual meetings of stockholders unless there are extenuating circumstances. Eight members of our Board of Directors attended the 2020 Annual Meeting; such members attended remotely due to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76770" cy="114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Information regarding the compensation of our non-employee directors is discussed below in "DIRECTORS' COMPENSATION FOR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76770" cy="114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Director Retirement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color w:val="auto"/>
        </w:rPr>
        <w:t>Our Corporate Governance Guidelines provide that unless otherwise recommended by the Nominating Committee and approved by the Board, directors are expected to retire from the Board at the end of the term of service during which they turn 75 years of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76770" cy="114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Related Party Transaction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We have adopted a written related party transaction policy, which covers transactions in excess of $120,000 between the Company and our directors, executive officers, 5% or greater stockholders and parties related to the foregoing, such as immediate family members and entities they control. The policy requires that any such transaction be considered and approved by our Audit Committee, except that if the transaction is less than $1 million, the Chair of the Audit Committee may approve such transaction. In reviewing such transactions, the policy requires the Audit Committee, or the Chair, as appropriate, to consider all of the relevant facts and circumstances available to the Audit Committee, including (if applicable) but not limited to the benefits to the Company, the availability of other sources for comparable products or services, the terms of the transaction and the terms available to unrelated third parties or employees generally. The Board has also determined that certain transactions are pre-approved and do not require review by the Audit Committee. These include (i) compensation of the executive officers and Board members, which is reviewed by the Compensation Committee, (ii) a transaction with another entity in which the interested director or executive officer has an indirect interest in the transaction solely as a result of being a director or less than 10% beneficial owner of such other entity, and (iii) transactions with another corporation or charitable organization if the director's or executive officer's only interest is as a director or as a non-executive officer employee of the other corporation or organization and the amount involved does not exceed the greater of $1 million or 2% of the revenues of such other corporation or organization.</w:t>
      </w:r>
    </w:p>
    <w:p>
      <w:pPr>
        <w:spacing w:after="0" w:line="124"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color w:val="auto"/>
        </w:rPr>
        <w:t>Under the policy, if we should discover related party transactions that have not been approved, the Audit Committee will be notified and will determine the appropriate action, including ratification, rescission or amendment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76770" cy="114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Mr. Tishman, a member of our Board, owns a substantial equity interest in, and has certain management rights with respect to an unaffiliated company. The unaffiliated company associated with Mr. Tishman and our wholly owned subsidiary are parties to an Occupancy Agreement (the "Occupancy Agreement"), dated July 14, 2010, pursuant to which the unaffiliated company associated with Mr. Tishman pays our wholly owned subsidiary a portion of the rent for office space in New York City in exchange for the right to use and occupy a portion of such space. In fiscal year 2020, our wholly owned subsidiary received approximately $1,801,495 in rent from the unaffiliated company associated with Mr. Tishman per the Occupancy Agreement.</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Mr. Tishman has an agreement with AECOM for reimbursement of private air travel for AECOM-related business travel to a company owned by Mr. Tishman. In fiscal year 2020, this amount was $53,035. In addition, Mr. Tishman is an indirect owner of an unaffiliated real estate development project company that engaged an AECOM affiliate to perform pre-construction and construction management services totaling $1,926,000 and an indirect owner of 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2" w:name="page63"/>
    <w:bookmarkEnd w:id="62"/>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unaffiliated hotel property company that procured $5,517,869 of risk management services and insurance coverage through an AECOM affiliated insurance captive in fiscal year 2020.</w:t>
      </w:r>
    </w:p>
    <w:p>
      <w:pPr>
        <w:spacing w:after="0" w:line="145"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Ms. Kennard, a member of our Board, is the founder, chief executive officer and majority equity owner of KDG Construction Consulting ("KDG"), a provider of project and construction management services. KDG has previously provided certain construction consulting services to a joint venture in which the Company is a majority partner. In fiscal year 2020, KDG received approximately $2,844,996 in consulting fees from such joint venture. The aforementioned consulting services between KDG and such joint venture have concluded.</w:t>
      </w:r>
    </w:p>
    <w:p>
      <w:pPr>
        <w:spacing w:after="0" w:line="114"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color w:val="auto"/>
        </w:rPr>
        <w:t>On November 27, 2019, Carla Christofferson, who served as our Executive Vice President and Chief Legal Officer during fiscal year 2019, entered into a settlement agreement with AECOM regarding certain employment-related claims, pursuant to which AECOM paid Ms. Christofferson $2,308,714. The agreement provided for a mutual release of claims.</w:t>
      </w:r>
    </w:p>
    <w:p>
      <w:pPr>
        <w:spacing w:after="0" w:line="104"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color w:val="auto"/>
        </w:rPr>
        <w:t>In fiscal year 2020, pursuant to the Starboard Agreement, we reimbursed Starboard $175,000 for certain fees and expenses (including legal expenses) incurred in connection with Starboard's involvement with AECOM through the date of the Starboard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76770" cy="114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Stock Ownership Guidelines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Non-employee directors are subject to stock ownership guidelines, which are intended to align their interests with those of our stockholders. Under the guidelines, our non-employee directors must maintain ownership of AECOM stock at a multiple of five times the annual retainer by the end of the fiscal year following the fifth anniversary of the director's initial appointment to the Board. The minimum number of shares guideline is updated annually based on the current cash retainer ($100,000) and the 12-month trailing average AECOM stock price. Shares owned directly or indirectly, the value of vested but unexercised stock options and unvested restricted stock are counted toward the guidelines. The table below outlines the ownership of our non-employee directors as of September 30, 2020. All directors already meet or are expected to meet guidelines within the five (5) year transition period.</w:t>
      </w:r>
    </w:p>
    <w:p>
      <w:pPr>
        <w:spacing w:after="0" w:line="116" w:lineRule="exact"/>
        <w:rPr>
          <w:sz w:val="20"/>
          <w:szCs w:val="20"/>
          <w:color w:val="auto"/>
        </w:rPr>
      </w:pPr>
    </w:p>
    <w:tbl>
      <w:tblPr>
        <w:tblLayout w:type="fixed"/>
        <w:tblInd w:w="1920" w:type="dxa"/>
        <w:tblCellMar>
          <w:top w:w="0" w:type="dxa"/>
          <w:left w:w="0" w:type="dxa"/>
          <w:bottom w:w="0" w:type="dxa"/>
          <w:right w:w="0" w:type="dxa"/>
        </w:tblCellMar>
      </w:tblPr>
      <w:tr>
        <w:trPr>
          <w:trHeight w:val="138"/>
        </w:trPr>
        <w:tc>
          <w:tcPr>
            <w:tcW w:w="3260" w:type="dxa"/>
            <w:vAlign w:val="bottom"/>
          </w:tcPr>
          <w:p>
            <w:pPr>
              <w:spacing w:after="0"/>
              <w:rPr>
                <w:sz w:val="12"/>
                <w:szCs w:val="12"/>
                <w:color w:val="auto"/>
              </w:rPr>
            </w:pPr>
          </w:p>
        </w:tc>
        <w:tc>
          <w:tcPr>
            <w:tcW w:w="1600" w:type="dxa"/>
            <w:vAlign w:val="bottom"/>
          </w:tcPr>
          <w:p>
            <w:pPr>
              <w:jc w:val="center"/>
              <w:ind w:left="301"/>
              <w:spacing w:after="0"/>
              <w:rPr>
                <w:sz w:val="20"/>
                <w:szCs w:val="20"/>
                <w:color w:val="auto"/>
              </w:rPr>
            </w:pPr>
            <w:r>
              <w:rPr>
                <w:rFonts w:ascii="Arial" w:cs="Arial" w:eastAsia="Arial" w:hAnsi="Arial"/>
                <w:sz w:val="12"/>
                <w:szCs w:val="12"/>
                <w:b w:val="1"/>
                <w:bCs w:val="1"/>
                <w:color w:val="auto"/>
                <w:w w:val="99"/>
              </w:rPr>
              <w:t>Requirement —</w:t>
            </w:r>
          </w:p>
        </w:tc>
        <w:tc>
          <w:tcPr>
            <w:tcW w:w="480" w:type="dxa"/>
            <w:vAlign w:val="bottom"/>
          </w:tcPr>
          <w:p>
            <w:pPr>
              <w:spacing w:after="0"/>
              <w:rPr>
                <w:sz w:val="12"/>
                <w:szCs w:val="12"/>
                <w:color w:val="auto"/>
              </w:rPr>
            </w:pPr>
          </w:p>
        </w:tc>
        <w:tc>
          <w:tcPr>
            <w:tcW w:w="1900" w:type="dxa"/>
            <w:vAlign w:val="bottom"/>
          </w:tcPr>
          <w:p>
            <w:pPr>
              <w:jc w:val="right"/>
              <w:ind w:right="581"/>
              <w:spacing w:after="0"/>
              <w:rPr>
                <w:sz w:val="20"/>
                <w:szCs w:val="20"/>
                <w:color w:val="auto"/>
              </w:rPr>
            </w:pPr>
            <w:r>
              <w:rPr>
                <w:rFonts w:ascii="Arial" w:cs="Arial" w:eastAsia="Arial" w:hAnsi="Arial"/>
                <w:sz w:val="12"/>
                <w:szCs w:val="12"/>
                <w:b w:val="1"/>
                <w:bCs w:val="1"/>
                <w:color w:val="auto"/>
              </w:rPr>
              <w:t>Actual —</w:t>
            </w:r>
          </w:p>
        </w:tc>
      </w:tr>
      <w:tr>
        <w:trPr>
          <w:trHeight w:val="151"/>
        </w:trPr>
        <w:tc>
          <w:tcPr>
            <w:tcW w:w="3260" w:type="dxa"/>
            <w:vAlign w:val="bottom"/>
            <w:tcBorders>
              <w:bottom w:val="single" w:sz="8" w:color="00B2E5"/>
            </w:tcBorders>
          </w:tcPr>
          <w:p>
            <w:pPr>
              <w:spacing w:after="0"/>
              <w:rPr>
                <w:sz w:val="20"/>
                <w:szCs w:val="20"/>
                <w:color w:val="auto"/>
              </w:rPr>
            </w:pPr>
            <w:r>
              <w:rPr>
                <w:rFonts w:ascii="Arial" w:cs="Arial" w:eastAsia="Arial" w:hAnsi="Arial"/>
                <w:sz w:val="12"/>
                <w:szCs w:val="12"/>
                <w:b w:val="1"/>
                <w:bCs w:val="1"/>
                <w:color w:val="auto"/>
              </w:rPr>
              <w:t>Non-Employee Director</w:t>
            </w:r>
          </w:p>
        </w:tc>
        <w:tc>
          <w:tcPr>
            <w:tcW w:w="1600" w:type="dxa"/>
            <w:vAlign w:val="bottom"/>
            <w:tcBorders>
              <w:bottom w:val="single" w:sz="8" w:color="00B2E5"/>
            </w:tcBorders>
          </w:tcPr>
          <w:p>
            <w:pPr>
              <w:jc w:val="center"/>
              <w:ind w:left="301"/>
              <w:spacing w:after="0"/>
              <w:rPr>
                <w:sz w:val="20"/>
                <w:szCs w:val="20"/>
                <w:color w:val="auto"/>
              </w:rPr>
            </w:pPr>
            <w:r>
              <w:rPr>
                <w:rFonts w:ascii="Arial" w:cs="Arial" w:eastAsia="Arial" w:hAnsi="Arial"/>
                <w:sz w:val="12"/>
                <w:szCs w:val="12"/>
                <w:b w:val="1"/>
                <w:bCs w:val="1"/>
                <w:color w:val="auto"/>
                <w:w w:val="99"/>
              </w:rPr>
              <w:t>Retainer Multiple</w:t>
            </w:r>
          </w:p>
        </w:tc>
        <w:tc>
          <w:tcPr>
            <w:tcW w:w="480" w:type="dxa"/>
            <w:vAlign w:val="bottom"/>
            <w:tcBorders>
              <w:bottom w:val="single" w:sz="8" w:color="00B2E5"/>
            </w:tcBorders>
          </w:tcPr>
          <w:p>
            <w:pPr>
              <w:spacing w:after="0"/>
              <w:rPr>
                <w:sz w:val="13"/>
                <w:szCs w:val="13"/>
                <w:color w:val="auto"/>
              </w:rPr>
            </w:pPr>
          </w:p>
        </w:tc>
        <w:tc>
          <w:tcPr>
            <w:tcW w:w="1900" w:type="dxa"/>
            <w:vAlign w:val="bottom"/>
            <w:tcBorders>
              <w:bottom w:val="single" w:sz="8" w:color="00B2E5"/>
            </w:tcBorders>
          </w:tcPr>
          <w:p>
            <w:pPr>
              <w:jc w:val="right"/>
              <w:ind w:right="361"/>
              <w:spacing w:after="0"/>
              <w:rPr>
                <w:sz w:val="20"/>
                <w:szCs w:val="20"/>
                <w:color w:val="auto"/>
              </w:rPr>
            </w:pPr>
            <w:r>
              <w:rPr>
                <w:rFonts w:ascii="Arial" w:cs="Arial" w:eastAsia="Arial" w:hAnsi="Arial"/>
                <w:sz w:val="12"/>
                <w:szCs w:val="12"/>
                <w:b w:val="1"/>
                <w:bCs w:val="1"/>
                <w:color w:val="auto"/>
              </w:rPr>
              <w:t>Retainer Multiple</w:t>
            </w:r>
          </w:p>
        </w:tc>
      </w:tr>
      <w:tr>
        <w:trPr>
          <w:trHeight w:val="135"/>
        </w:trPr>
        <w:tc>
          <w:tcPr>
            <w:tcW w:w="3260" w:type="dxa"/>
            <w:vAlign w:val="bottom"/>
            <w:tcBorders>
              <w:bottom w:val="single" w:sz="8" w:color="00B2E5"/>
              <w:right w:val="single" w:sz="8" w:color="00B2E5"/>
            </w:tcBorders>
          </w:tcPr>
          <w:p>
            <w:pPr>
              <w:spacing w:after="0" w:line="135" w:lineRule="exact"/>
              <w:rPr>
                <w:sz w:val="20"/>
                <w:szCs w:val="20"/>
                <w:color w:val="auto"/>
              </w:rPr>
            </w:pPr>
            <w:r>
              <w:rPr>
                <w:rFonts w:ascii="Arial" w:cs="Arial" w:eastAsia="Arial" w:hAnsi="Arial"/>
                <w:sz w:val="12"/>
                <w:szCs w:val="12"/>
                <w:color w:val="auto"/>
              </w:rPr>
              <w:t>Bradley W. Buss</w:t>
            </w:r>
          </w:p>
        </w:tc>
        <w:tc>
          <w:tcPr>
            <w:tcW w:w="1600" w:type="dxa"/>
            <w:vAlign w:val="bottom"/>
            <w:tcBorders>
              <w:bottom w:val="single" w:sz="8" w:color="00B2E5"/>
            </w:tcBorders>
          </w:tcPr>
          <w:p>
            <w:pPr>
              <w:spacing w:after="0"/>
              <w:rPr>
                <w:sz w:val="11"/>
                <w:szCs w:val="11"/>
                <w:color w:val="auto"/>
              </w:rPr>
            </w:pPr>
          </w:p>
        </w:tc>
        <w:tc>
          <w:tcPr>
            <w:tcW w:w="480" w:type="dxa"/>
            <w:vAlign w:val="bottom"/>
            <w:tcBorders>
              <w:bottom w:val="single" w:sz="8" w:color="00B2E5"/>
              <w:right w:val="single" w:sz="8" w:color="00B2E5"/>
            </w:tcBorders>
          </w:tcPr>
          <w:p>
            <w:pPr>
              <w:jc w:val="right"/>
              <w:ind w:right="141"/>
              <w:spacing w:after="0" w:line="135" w:lineRule="exact"/>
              <w:rPr>
                <w:sz w:val="20"/>
                <w:szCs w:val="20"/>
                <w:color w:val="auto"/>
              </w:rPr>
            </w:pPr>
            <w:r>
              <w:rPr>
                <w:rFonts w:ascii="Arial" w:cs="Arial" w:eastAsia="Arial" w:hAnsi="Arial"/>
                <w:sz w:val="12"/>
                <w:szCs w:val="12"/>
                <w:color w:val="auto"/>
              </w:rPr>
              <w:t>5.0</w:t>
            </w:r>
          </w:p>
        </w:tc>
        <w:tc>
          <w:tcPr>
            <w:tcW w:w="1900" w:type="dxa"/>
            <w:vAlign w:val="bottom"/>
            <w:tcBorders>
              <w:bottom w:val="single" w:sz="8" w:color="00B2E5"/>
            </w:tcBorders>
          </w:tcPr>
          <w:p>
            <w:pPr>
              <w:jc w:val="right"/>
              <w:spacing w:after="0" w:line="135" w:lineRule="exact"/>
              <w:rPr>
                <w:sz w:val="20"/>
                <w:szCs w:val="20"/>
                <w:color w:val="auto"/>
              </w:rPr>
            </w:pPr>
            <w:r>
              <w:rPr>
                <w:rFonts w:ascii="Arial" w:cs="Arial" w:eastAsia="Arial" w:hAnsi="Arial"/>
                <w:sz w:val="12"/>
                <w:szCs w:val="12"/>
                <w:color w:val="auto"/>
              </w:rPr>
              <w:t>6.4</w:t>
            </w:r>
          </w:p>
        </w:tc>
      </w:tr>
      <w:tr>
        <w:trPr>
          <w:trHeight w:val="126"/>
        </w:trPr>
        <w:tc>
          <w:tcPr>
            <w:tcW w:w="3260" w:type="dxa"/>
            <w:vAlign w:val="bottom"/>
            <w:tcBorders>
              <w:bottom w:val="single" w:sz="8" w:color="00B2E5"/>
              <w:right w:val="single" w:sz="8" w:color="00B2E5"/>
            </w:tcBorders>
          </w:tcPr>
          <w:p>
            <w:pPr>
              <w:spacing w:after="0" w:line="126" w:lineRule="exact"/>
              <w:rPr>
                <w:sz w:val="20"/>
                <w:szCs w:val="20"/>
                <w:color w:val="auto"/>
              </w:rPr>
            </w:pPr>
            <w:r>
              <w:rPr>
                <w:rFonts w:ascii="Arial" w:cs="Arial" w:eastAsia="Arial" w:hAnsi="Arial"/>
                <w:sz w:val="12"/>
                <w:szCs w:val="12"/>
                <w:color w:val="auto"/>
              </w:rPr>
              <w:t>Robert G. Card</w:t>
            </w:r>
          </w:p>
        </w:tc>
        <w:tc>
          <w:tcPr>
            <w:tcW w:w="1600" w:type="dxa"/>
            <w:vAlign w:val="bottom"/>
            <w:tcBorders>
              <w:bottom w:val="single" w:sz="8" w:color="00B2E5"/>
            </w:tcBorders>
          </w:tcPr>
          <w:p>
            <w:pPr>
              <w:spacing w:after="0"/>
              <w:rPr>
                <w:sz w:val="10"/>
                <w:szCs w:val="10"/>
                <w:color w:val="auto"/>
              </w:rPr>
            </w:pPr>
          </w:p>
        </w:tc>
        <w:tc>
          <w:tcPr>
            <w:tcW w:w="480" w:type="dxa"/>
            <w:vAlign w:val="bottom"/>
            <w:tcBorders>
              <w:bottom w:val="single" w:sz="8" w:color="00B2E5"/>
              <w:right w:val="single" w:sz="8" w:color="00B2E5"/>
            </w:tcBorders>
          </w:tcPr>
          <w:p>
            <w:pPr>
              <w:jc w:val="right"/>
              <w:ind w:right="141"/>
              <w:spacing w:after="0" w:line="126" w:lineRule="exact"/>
              <w:rPr>
                <w:sz w:val="20"/>
                <w:szCs w:val="20"/>
                <w:color w:val="auto"/>
              </w:rPr>
            </w:pPr>
            <w:r>
              <w:rPr>
                <w:rFonts w:ascii="Arial" w:cs="Arial" w:eastAsia="Arial" w:hAnsi="Arial"/>
                <w:sz w:val="12"/>
                <w:szCs w:val="12"/>
                <w:color w:val="auto"/>
              </w:rPr>
              <w:t>5.0</w:t>
            </w:r>
          </w:p>
        </w:tc>
        <w:tc>
          <w:tcPr>
            <w:tcW w:w="1900" w:type="dxa"/>
            <w:vAlign w:val="bottom"/>
            <w:tcBorders>
              <w:bottom w:val="single" w:sz="8" w:color="00B2E5"/>
            </w:tcBorders>
          </w:tcPr>
          <w:p>
            <w:pPr>
              <w:jc w:val="right"/>
              <w:spacing w:after="0" w:line="126" w:lineRule="exact"/>
              <w:rPr>
                <w:sz w:val="20"/>
                <w:szCs w:val="20"/>
                <w:color w:val="auto"/>
              </w:rPr>
            </w:pPr>
            <w:r>
              <w:rPr>
                <w:rFonts w:ascii="Arial" w:cs="Arial" w:eastAsia="Arial" w:hAnsi="Arial"/>
                <w:sz w:val="12"/>
                <w:szCs w:val="12"/>
                <w:color w:val="auto"/>
              </w:rPr>
              <w:t>2.5</w:t>
            </w:r>
          </w:p>
        </w:tc>
      </w:tr>
      <w:tr>
        <w:trPr>
          <w:trHeight w:val="126"/>
        </w:trPr>
        <w:tc>
          <w:tcPr>
            <w:tcW w:w="3260" w:type="dxa"/>
            <w:vAlign w:val="bottom"/>
            <w:tcBorders>
              <w:bottom w:val="single" w:sz="8" w:color="00B2E5"/>
              <w:right w:val="single" w:sz="8" w:color="00B2E5"/>
            </w:tcBorders>
          </w:tcPr>
          <w:p>
            <w:pPr>
              <w:spacing w:after="0" w:line="126" w:lineRule="exact"/>
              <w:rPr>
                <w:sz w:val="20"/>
                <w:szCs w:val="20"/>
                <w:color w:val="auto"/>
              </w:rPr>
            </w:pPr>
            <w:r>
              <w:rPr>
                <w:rFonts w:ascii="Arial" w:cs="Arial" w:eastAsia="Arial" w:hAnsi="Arial"/>
                <w:sz w:val="12"/>
                <w:szCs w:val="12"/>
                <w:color w:val="auto"/>
              </w:rPr>
              <w:t>Steven A. Kandarian</w:t>
            </w:r>
          </w:p>
        </w:tc>
        <w:tc>
          <w:tcPr>
            <w:tcW w:w="1600" w:type="dxa"/>
            <w:vAlign w:val="bottom"/>
            <w:tcBorders>
              <w:bottom w:val="single" w:sz="8" w:color="00B2E5"/>
            </w:tcBorders>
          </w:tcPr>
          <w:p>
            <w:pPr>
              <w:spacing w:after="0"/>
              <w:rPr>
                <w:sz w:val="10"/>
                <w:szCs w:val="10"/>
                <w:color w:val="auto"/>
              </w:rPr>
            </w:pPr>
          </w:p>
        </w:tc>
        <w:tc>
          <w:tcPr>
            <w:tcW w:w="480" w:type="dxa"/>
            <w:vAlign w:val="bottom"/>
            <w:tcBorders>
              <w:bottom w:val="single" w:sz="8" w:color="00B2E5"/>
              <w:right w:val="single" w:sz="8" w:color="00B2E5"/>
            </w:tcBorders>
          </w:tcPr>
          <w:p>
            <w:pPr>
              <w:jc w:val="right"/>
              <w:ind w:right="141"/>
              <w:spacing w:after="0" w:line="126" w:lineRule="exact"/>
              <w:rPr>
                <w:sz w:val="20"/>
                <w:szCs w:val="20"/>
                <w:color w:val="auto"/>
              </w:rPr>
            </w:pPr>
            <w:r>
              <w:rPr>
                <w:rFonts w:ascii="Arial" w:cs="Arial" w:eastAsia="Arial" w:hAnsi="Arial"/>
                <w:sz w:val="12"/>
                <w:szCs w:val="12"/>
                <w:color w:val="auto"/>
              </w:rPr>
              <w:t>5.0</w:t>
            </w:r>
          </w:p>
        </w:tc>
        <w:tc>
          <w:tcPr>
            <w:tcW w:w="1900" w:type="dxa"/>
            <w:vAlign w:val="bottom"/>
            <w:tcBorders>
              <w:bottom w:val="single" w:sz="8" w:color="00B2E5"/>
            </w:tcBorders>
          </w:tcPr>
          <w:p>
            <w:pPr>
              <w:jc w:val="right"/>
              <w:spacing w:after="0" w:line="126" w:lineRule="exact"/>
              <w:rPr>
                <w:sz w:val="20"/>
                <w:szCs w:val="20"/>
                <w:color w:val="auto"/>
              </w:rPr>
            </w:pPr>
            <w:r>
              <w:rPr>
                <w:rFonts w:ascii="Arial" w:cs="Arial" w:eastAsia="Arial" w:hAnsi="Arial"/>
                <w:sz w:val="12"/>
                <w:szCs w:val="12"/>
                <w:color w:val="auto"/>
              </w:rPr>
              <w:t>3.8</w:t>
            </w:r>
          </w:p>
        </w:tc>
      </w:tr>
      <w:tr>
        <w:trPr>
          <w:trHeight w:val="126"/>
        </w:trPr>
        <w:tc>
          <w:tcPr>
            <w:tcW w:w="3260" w:type="dxa"/>
            <w:vAlign w:val="bottom"/>
            <w:tcBorders>
              <w:bottom w:val="single" w:sz="8" w:color="00B2E5"/>
              <w:right w:val="single" w:sz="8" w:color="00B2E5"/>
            </w:tcBorders>
          </w:tcPr>
          <w:p>
            <w:pPr>
              <w:spacing w:after="0" w:line="126" w:lineRule="exact"/>
              <w:rPr>
                <w:sz w:val="20"/>
                <w:szCs w:val="20"/>
                <w:color w:val="auto"/>
              </w:rPr>
            </w:pPr>
            <w:r>
              <w:rPr>
                <w:rFonts w:ascii="Arial" w:cs="Arial" w:eastAsia="Arial" w:hAnsi="Arial"/>
                <w:sz w:val="12"/>
                <w:szCs w:val="12"/>
                <w:color w:val="auto"/>
              </w:rPr>
              <w:t>Jacqueline C. Hinman</w:t>
            </w:r>
          </w:p>
        </w:tc>
        <w:tc>
          <w:tcPr>
            <w:tcW w:w="1600" w:type="dxa"/>
            <w:vAlign w:val="bottom"/>
            <w:tcBorders>
              <w:bottom w:val="single" w:sz="8" w:color="00B2E5"/>
            </w:tcBorders>
          </w:tcPr>
          <w:p>
            <w:pPr>
              <w:spacing w:after="0"/>
              <w:rPr>
                <w:sz w:val="10"/>
                <w:szCs w:val="10"/>
                <w:color w:val="auto"/>
              </w:rPr>
            </w:pPr>
          </w:p>
        </w:tc>
        <w:tc>
          <w:tcPr>
            <w:tcW w:w="480" w:type="dxa"/>
            <w:vAlign w:val="bottom"/>
            <w:tcBorders>
              <w:bottom w:val="single" w:sz="8" w:color="00B2E5"/>
              <w:right w:val="single" w:sz="8" w:color="00B2E5"/>
            </w:tcBorders>
          </w:tcPr>
          <w:p>
            <w:pPr>
              <w:jc w:val="right"/>
              <w:ind w:right="141"/>
              <w:spacing w:after="0" w:line="126" w:lineRule="exact"/>
              <w:rPr>
                <w:sz w:val="20"/>
                <w:szCs w:val="20"/>
                <w:color w:val="auto"/>
              </w:rPr>
            </w:pPr>
            <w:r>
              <w:rPr>
                <w:rFonts w:ascii="Arial" w:cs="Arial" w:eastAsia="Arial" w:hAnsi="Arial"/>
                <w:sz w:val="12"/>
                <w:szCs w:val="12"/>
                <w:color w:val="auto"/>
              </w:rPr>
              <w:t>5.0</w:t>
            </w:r>
          </w:p>
        </w:tc>
        <w:tc>
          <w:tcPr>
            <w:tcW w:w="1900" w:type="dxa"/>
            <w:vAlign w:val="bottom"/>
            <w:tcBorders>
              <w:bottom w:val="single" w:sz="8" w:color="00B2E5"/>
            </w:tcBorders>
          </w:tcPr>
          <w:p>
            <w:pPr>
              <w:jc w:val="right"/>
              <w:spacing w:after="0" w:line="126" w:lineRule="exact"/>
              <w:rPr>
                <w:sz w:val="20"/>
                <w:szCs w:val="20"/>
                <w:color w:val="auto"/>
              </w:rPr>
            </w:pPr>
            <w:r>
              <w:rPr>
                <w:rFonts w:ascii="Arial" w:cs="Arial" w:eastAsia="Arial" w:hAnsi="Arial"/>
                <w:sz w:val="12"/>
                <w:szCs w:val="12"/>
                <w:color w:val="auto"/>
              </w:rPr>
              <w:t>2.5</w:t>
            </w:r>
          </w:p>
        </w:tc>
      </w:tr>
      <w:tr>
        <w:trPr>
          <w:trHeight w:val="126"/>
        </w:trPr>
        <w:tc>
          <w:tcPr>
            <w:tcW w:w="3260" w:type="dxa"/>
            <w:vAlign w:val="bottom"/>
            <w:tcBorders>
              <w:bottom w:val="single" w:sz="8" w:color="00B2E5"/>
              <w:right w:val="single" w:sz="8" w:color="00B2E5"/>
            </w:tcBorders>
          </w:tcPr>
          <w:p>
            <w:pPr>
              <w:spacing w:after="0" w:line="126" w:lineRule="exact"/>
              <w:rPr>
                <w:sz w:val="20"/>
                <w:szCs w:val="20"/>
                <w:color w:val="auto"/>
              </w:rPr>
            </w:pPr>
            <w:r>
              <w:rPr>
                <w:rFonts w:ascii="Arial" w:cs="Arial" w:eastAsia="Arial" w:hAnsi="Arial"/>
                <w:sz w:val="12"/>
                <w:szCs w:val="12"/>
                <w:color w:val="auto"/>
              </w:rPr>
              <w:t>Dr. Robert J. Routs</w:t>
            </w:r>
          </w:p>
        </w:tc>
        <w:tc>
          <w:tcPr>
            <w:tcW w:w="1600" w:type="dxa"/>
            <w:vAlign w:val="bottom"/>
            <w:tcBorders>
              <w:bottom w:val="single" w:sz="8" w:color="00B2E5"/>
            </w:tcBorders>
          </w:tcPr>
          <w:p>
            <w:pPr>
              <w:spacing w:after="0"/>
              <w:rPr>
                <w:sz w:val="10"/>
                <w:szCs w:val="10"/>
                <w:color w:val="auto"/>
              </w:rPr>
            </w:pPr>
          </w:p>
        </w:tc>
        <w:tc>
          <w:tcPr>
            <w:tcW w:w="480" w:type="dxa"/>
            <w:vAlign w:val="bottom"/>
            <w:tcBorders>
              <w:bottom w:val="single" w:sz="8" w:color="00B2E5"/>
              <w:right w:val="single" w:sz="8" w:color="00B2E5"/>
            </w:tcBorders>
          </w:tcPr>
          <w:p>
            <w:pPr>
              <w:jc w:val="right"/>
              <w:ind w:right="141"/>
              <w:spacing w:after="0" w:line="126" w:lineRule="exact"/>
              <w:rPr>
                <w:sz w:val="20"/>
                <w:szCs w:val="20"/>
                <w:color w:val="auto"/>
              </w:rPr>
            </w:pPr>
            <w:r>
              <w:rPr>
                <w:rFonts w:ascii="Arial" w:cs="Arial" w:eastAsia="Arial" w:hAnsi="Arial"/>
                <w:sz w:val="12"/>
                <w:szCs w:val="12"/>
                <w:color w:val="auto"/>
              </w:rPr>
              <w:t>5.0</w:t>
            </w:r>
          </w:p>
        </w:tc>
        <w:tc>
          <w:tcPr>
            <w:tcW w:w="1900" w:type="dxa"/>
            <w:vAlign w:val="bottom"/>
            <w:tcBorders>
              <w:bottom w:val="single" w:sz="8" w:color="00B2E5"/>
            </w:tcBorders>
          </w:tcPr>
          <w:p>
            <w:pPr>
              <w:jc w:val="right"/>
              <w:spacing w:after="0" w:line="126" w:lineRule="exact"/>
              <w:rPr>
                <w:sz w:val="20"/>
                <w:szCs w:val="20"/>
                <w:color w:val="auto"/>
              </w:rPr>
            </w:pPr>
            <w:r>
              <w:rPr>
                <w:rFonts w:ascii="Arial" w:cs="Arial" w:eastAsia="Arial" w:hAnsi="Arial"/>
                <w:sz w:val="12"/>
                <w:szCs w:val="12"/>
                <w:color w:val="auto"/>
              </w:rPr>
              <w:t>13.1</w:t>
            </w:r>
          </w:p>
        </w:tc>
      </w:tr>
      <w:tr>
        <w:trPr>
          <w:trHeight w:val="126"/>
        </w:trPr>
        <w:tc>
          <w:tcPr>
            <w:tcW w:w="3260" w:type="dxa"/>
            <w:vAlign w:val="bottom"/>
            <w:tcBorders>
              <w:bottom w:val="single" w:sz="8" w:color="00B2E5"/>
              <w:right w:val="single" w:sz="8" w:color="00B2E5"/>
            </w:tcBorders>
          </w:tcPr>
          <w:p>
            <w:pPr>
              <w:spacing w:after="0" w:line="126" w:lineRule="exact"/>
              <w:rPr>
                <w:sz w:val="20"/>
                <w:szCs w:val="20"/>
                <w:color w:val="auto"/>
              </w:rPr>
            </w:pPr>
            <w:r>
              <w:rPr>
                <w:rFonts w:ascii="Arial" w:cs="Arial" w:eastAsia="Arial" w:hAnsi="Arial"/>
                <w:sz w:val="12"/>
                <w:szCs w:val="12"/>
                <w:color w:val="auto"/>
              </w:rPr>
              <w:t>Clarence T. Schmitz</w:t>
            </w:r>
          </w:p>
        </w:tc>
        <w:tc>
          <w:tcPr>
            <w:tcW w:w="1600" w:type="dxa"/>
            <w:vAlign w:val="bottom"/>
            <w:tcBorders>
              <w:bottom w:val="single" w:sz="8" w:color="00B2E5"/>
            </w:tcBorders>
          </w:tcPr>
          <w:p>
            <w:pPr>
              <w:spacing w:after="0"/>
              <w:rPr>
                <w:sz w:val="10"/>
                <w:szCs w:val="10"/>
                <w:color w:val="auto"/>
              </w:rPr>
            </w:pPr>
          </w:p>
        </w:tc>
        <w:tc>
          <w:tcPr>
            <w:tcW w:w="480" w:type="dxa"/>
            <w:vAlign w:val="bottom"/>
            <w:tcBorders>
              <w:bottom w:val="single" w:sz="8" w:color="00B2E5"/>
              <w:right w:val="single" w:sz="8" w:color="00B2E5"/>
            </w:tcBorders>
          </w:tcPr>
          <w:p>
            <w:pPr>
              <w:jc w:val="right"/>
              <w:ind w:right="141"/>
              <w:spacing w:after="0" w:line="126" w:lineRule="exact"/>
              <w:rPr>
                <w:sz w:val="20"/>
                <w:szCs w:val="20"/>
                <w:color w:val="auto"/>
              </w:rPr>
            </w:pPr>
            <w:r>
              <w:rPr>
                <w:rFonts w:ascii="Arial" w:cs="Arial" w:eastAsia="Arial" w:hAnsi="Arial"/>
                <w:sz w:val="12"/>
                <w:szCs w:val="12"/>
                <w:color w:val="auto"/>
              </w:rPr>
              <w:t>5.0</w:t>
            </w:r>
          </w:p>
        </w:tc>
        <w:tc>
          <w:tcPr>
            <w:tcW w:w="1900" w:type="dxa"/>
            <w:vAlign w:val="bottom"/>
            <w:tcBorders>
              <w:bottom w:val="single" w:sz="8" w:color="00B2E5"/>
            </w:tcBorders>
          </w:tcPr>
          <w:p>
            <w:pPr>
              <w:jc w:val="right"/>
              <w:spacing w:after="0" w:line="126" w:lineRule="exact"/>
              <w:rPr>
                <w:sz w:val="20"/>
                <w:szCs w:val="20"/>
                <w:color w:val="auto"/>
              </w:rPr>
            </w:pPr>
            <w:r>
              <w:rPr>
                <w:rFonts w:ascii="Arial" w:cs="Arial" w:eastAsia="Arial" w:hAnsi="Arial"/>
                <w:sz w:val="12"/>
                <w:szCs w:val="12"/>
                <w:color w:val="auto"/>
              </w:rPr>
              <w:t>14.9</w:t>
            </w:r>
          </w:p>
        </w:tc>
      </w:tr>
      <w:tr>
        <w:trPr>
          <w:trHeight w:val="126"/>
        </w:trPr>
        <w:tc>
          <w:tcPr>
            <w:tcW w:w="3260" w:type="dxa"/>
            <w:vAlign w:val="bottom"/>
            <w:tcBorders>
              <w:bottom w:val="single" w:sz="8" w:color="00B2E5"/>
              <w:right w:val="single" w:sz="8" w:color="00B2E5"/>
            </w:tcBorders>
          </w:tcPr>
          <w:p>
            <w:pPr>
              <w:spacing w:after="0" w:line="126" w:lineRule="exact"/>
              <w:rPr>
                <w:sz w:val="20"/>
                <w:szCs w:val="20"/>
                <w:color w:val="auto"/>
              </w:rPr>
            </w:pPr>
            <w:r>
              <w:rPr>
                <w:rFonts w:ascii="Arial" w:cs="Arial" w:eastAsia="Arial" w:hAnsi="Arial"/>
                <w:sz w:val="12"/>
                <w:szCs w:val="12"/>
                <w:color w:val="auto"/>
              </w:rPr>
              <w:t>Douglas W. Stotlar</w:t>
            </w:r>
          </w:p>
        </w:tc>
        <w:tc>
          <w:tcPr>
            <w:tcW w:w="1600" w:type="dxa"/>
            <w:vAlign w:val="bottom"/>
            <w:tcBorders>
              <w:bottom w:val="single" w:sz="8" w:color="00B2E5"/>
            </w:tcBorders>
          </w:tcPr>
          <w:p>
            <w:pPr>
              <w:spacing w:after="0"/>
              <w:rPr>
                <w:sz w:val="10"/>
                <w:szCs w:val="10"/>
                <w:color w:val="auto"/>
              </w:rPr>
            </w:pPr>
          </w:p>
        </w:tc>
        <w:tc>
          <w:tcPr>
            <w:tcW w:w="480" w:type="dxa"/>
            <w:vAlign w:val="bottom"/>
            <w:tcBorders>
              <w:bottom w:val="single" w:sz="8" w:color="00B2E5"/>
              <w:right w:val="single" w:sz="8" w:color="00B2E5"/>
            </w:tcBorders>
          </w:tcPr>
          <w:p>
            <w:pPr>
              <w:jc w:val="right"/>
              <w:ind w:right="141"/>
              <w:spacing w:after="0" w:line="126" w:lineRule="exact"/>
              <w:rPr>
                <w:sz w:val="20"/>
                <w:szCs w:val="20"/>
                <w:color w:val="auto"/>
              </w:rPr>
            </w:pPr>
            <w:r>
              <w:rPr>
                <w:rFonts w:ascii="Arial" w:cs="Arial" w:eastAsia="Arial" w:hAnsi="Arial"/>
                <w:sz w:val="12"/>
                <w:szCs w:val="12"/>
                <w:color w:val="auto"/>
              </w:rPr>
              <w:t>5.0</w:t>
            </w:r>
          </w:p>
        </w:tc>
        <w:tc>
          <w:tcPr>
            <w:tcW w:w="1900" w:type="dxa"/>
            <w:vAlign w:val="bottom"/>
            <w:tcBorders>
              <w:bottom w:val="single" w:sz="8" w:color="00B2E5"/>
            </w:tcBorders>
          </w:tcPr>
          <w:p>
            <w:pPr>
              <w:jc w:val="right"/>
              <w:spacing w:after="0" w:line="126" w:lineRule="exact"/>
              <w:rPr>
                <w:sz w:val="20"/>
                <w:szCs w:val="20"/>
                <w:color w:val="auto"/>
              </w:rPr>
            </w:pPr>
            <w:r>
              <w:rPr>
                <w:rFonts w:ascii="Arial" w:cs="Arial" w:eastAsia="Arial" w:hAnsi="Arial"/>
                <w:sz w:val="12"/>
                <w:szCs w:val="12"/>
                <w:color w:val="auto"/>
              </w:rPr>
              <w:t>23.2</w:t>
            </w:r>
          </w:p>
        </w:tc>
      </w:tr>
      <w:tr>
        <w:trPr>
          <w:trHeight w:val="126"/>
        </w:trPr>
        <w:tc>
          <w:tcPr>
            <w:tcW w:w="3260" w:type="dxa"/>
            <w:vAlign w:val="bottom"/>
            <w:tcBorders>
              <w:bottom w:val="single" w:sz="8" w:color="00B2E5"/>
              <w:right w:val="single" w:sz="8" w:color="00B2E5"/>
            </w:tcBorders>
          </w:tcPr>
          <w:p>
            <w:pPr>
              <w:spacing w:after="0" w:line="126" w:lineRule="exact"/>
              <w:rPr>
                <w:sz w:val="20"/>
                <w:szCs w:val="20"/>
                <w:color w:val="auto"/>
              </w:rPr>
            </w:pPr>
            <w:r>
              <w:rPr>
                <w:rFonts w:ascii="Arial" w:cs="Arial" w:eastAsia="Arial" w:hAnsi="Arial"/>
                <w:sz w:val="12"/>
                <w:szCs w:val="12"/>
                <w:color w:val="auto"/>
              </w:rPr>
              <w:t>Daniel R. Tishman</w:t>
            </w:r>
          </w:p>
        </w:tc>
        <w:tc>
          <w:tcPr>
            <w:tcW w:w="1600" w:type="dxa"/>
            <w:vAlign w:val="bottom"/>
            <w:tcBorders>
              <w:bottom w:val="single" w:sz="8" w:color="00B2E5"/>
            </w:tcBorders>
          </w:tcPr>
          <w:p>
            <w:pPr>
              <w:spacing w:after="0"/>
              <w:rPr>
                <w:sz w:val="10"/>
                <w:szCs w:val="10"/>
                <w:color w:val="auto"/>
              </w:rPr>
            </w:pPr>
          </w:p>
        </w:tc>
        <w:tc>
          <w:tcPr>
            <w:tcW w:w="480" w:type="dxa"/>
            <w:vAlign w:val="bottom"/>
            <w:tcBorders>
              <w:bottom w:val="single" w:sz="8" w:color="00B2E5"/>
              <w:right w:val="single" w:sz="8" w:color="00B2E5"/>
            </w:tcBorders>
          </w:tcPr>
          <w:p>
            <w:pPr>
              <w:jc w:val="right"/>
              <w:ind w:right="141"/>
              <w:spacing w:after="0" w:line="126" w:lineRule="exact"/>
              <w:rPr>
                <w:sz w:val="20"/>
                <w:szCs w:val="20"/>
                <w:color w:val="auto"/>
              </w:rPr>
            </w:pPr>
            <w:r>
              <w:rPr>
                <w:rFonts w:ascii="Arial" w:cs="Arial" w:eastAsia="Arial" w:hAnsi="Arial"/>
                <w:sz w:val="12"/>
                <w:szCs w:val="12"/>
                <w:color w:val="auto"/>
              </w:rPr>
              <w:t>5.0</w:t>
            </w:r>
          </w:p>
        </w:tc>
        <w:tc>
          <w:tcPr>
            <w:tcW w:w="1900" w:type="dxa"/>
            <w:vAlign w:val="bottom"/>
            <w:tcBorders>
              <w:bottom w:val="single" w:sz="8" w:color="00B2E5"/>
            </w:tcBorders>
          </w:tcPr>
          <w:p>
            <w:pPr>
              <w:jc w:val="right"/>
              <w:spacing w:after="0" w:line="126" w:lineRule="exact"/>
              <w:rPr>
                <w:sz w:val="20"/>
                <w:szCs w:val="20"/>
                <w:color w:val="auto"/>
              </w:rPr>
            </w:pPr>
            <w:r>
              <w:rPr>
                <w:rFonts w:ascii="Arial" w:cs="Arial" w:eastAsia="Arial" w:hAnsi="Arial"/>
                <w:sz w:val="12"/>
                <w:szCs w:val="12"/>
                <w:color w:val="auto"/>
              </w:rPr>
              <w:t>46.3</w:t>
            </w:r>
          </w:p>
        </w:tc>
      </w:tr>
      <w:tr>
        <w:trPr>
          <w:trHeight w:val="126"/>
        </w:trPr>
        <w:tc>
          <w:tcPr>
            <w:tcW w:w="3260" w:type="dxa"/>
            <w:vAlign w:val="bottom"/>
            <w:tcBorders>
              <w:bottom w:val="single" w:sz="8" w:color="00B2E5"/>
              <w:right w:val="single" w:sz="8" w:color="00B2E5"/>
            </w:tcBorders>
          </w:tcPr>
          <w:p>
            <w:pPr>
              <w:spacing w:after="0" w:line="126" w:lineRule="exact"/>
              <w:rPr>
                <w:sz w:val="20"/>
                <w:szCs w:val="20"/>
                <w:color w:val="auto"/>
              </w:rPr>
            </w:pPr>
            <w:r>
              <w:rPr>
                <w:rFonts w:ascii="Arial" w:cs="Arial" w:eastAsia="Arial" w:hAnsi="Arial"/>
                <w:sz w:val="12"/>
                <w:szCs w:val="12"/>
                <w:color w:val="auto"/>
              </w:rPr>
              <w:t>General Janet C. Wolfenbarger</w:t>
            </w:r>
          </w:p>
        </w:tc>
        <w:tc>
          <w:tcPr>
            <w:tcW w:w="1600" w:type="dxa"/>
            <w:vAlign w:val="bottom"/>
            <w:tcBorders>
              <w:bottom w:val="single" w:sz="8" w:color="00B2E5"/>
            </w:tcBorders>
          </w:tcPr>
          <w:p>
            <w:pPr>
              <w:spacing w:after="0"/>
              <w:rPr>
                <w:sz w:val="10"/>
                <w:szCs w:val="10"/>
                <w:color w:val="auto"/>
              </w:rPr>
            </w:pPr>
          </w:p>
        </w:tc>
        <w:tc>
          <w:tcPr>
            <w:tcW w:w="480" w:type="dxa"/>
            <w:vAlign w:val="bottom"/>
            <w:tcBorders>
              <w:bottom w:val="single" w:sz="8" w:color="00B2E5"/>
              <w:right w:val="single" w:sz="8" w:color="00B2E5"/>
            </w:tcBorders>
          </w:tcPr>
          <w:p>
            <w:pPr>
              <w:jc w:val="right"/>
              <w:ind w:right="141"/>
              <w:spacing w:after="0" w:line="126" w:lineRule="exact"/>
              <w:rPr>
                <w:sz w:val="20"/>
                <w:szCs w:val="20"/>
                <w:color w:val="auto"/>
              </w:rPr>
            </w:pPr>
            <w:r>
              <w:rPr>
                <w:rFonts w:ascii="Arial" w:cs="Arial" w:eastAsia="Arial" w:hAnsi="Arial"/>
                <w:sz w:val="12"/>
                <w:szCs w:val="12"/>
                <w:color w:val="auto"/>
              </w:rPr>
              <w:t>5.0</w:t>
            </w:r>
          </w:p>
        </w:tc>
        <w:tc>
          <w:tcPr>
            <w:tcW w:w="1900" w:type="dxa"/>
            <w:vAlign w:val="bottom"/>
            <w:tcBorders>
              <w:bottom w:val="single" w:sz="8" w:color="00B2E5"/>
            </w:tcBorders>
          </w:tcPr>
          <w:p>
            <w:pPr>
              <w:jc w:val="right"/>
              <w:spacing w:after="0" w:line="126" w:lineRule="exact"/>
              <w:rPr>
                <w:sz w:val="20"/>
                <w:szCs w:val="20"/>
                <w:color w:val="auto"/>
              </w:rPr>
            </w:pPr>
            <w:r>
              <w:rPr>
                <w:rFonts w:ascii="Arial" w:cs="Arial" w:eastAsia="Arial" w:hAnsi="Arial"/>
                <w:sz w:val="12"/>
                <w:szCs w:val="12"/>
                <w:color w:val="auto"/>
              </w:rPr>
              <w:t>10.4</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Please see the "COMPENSATION DISCUSSION AND ANALYSIS" section for a discussion of the stock ownership guidelines applicable to our NEOs.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3" w:name="page64"/>
    <w:bookmarkEnd w:id="63"/>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00" w:type="dxa"/>
            <w:vAlign w:val="bottom"/>
            <w:gridSpan w:val="2"/>
          </w:tcPr>
          <w:p>
            <w:pPr>
              <w:spacing w:after="0"/>
              <w:rPr>
                <w:sz w:val="20"/>
                <w:szCs w:val="20"/>
                <w:color w:val="auto"/>
              </w:rPr>
            </w:pPr>
            <w:r>
              <w:rPr>
                <w:rFonts w:ascii="Arial" w:cs="Arial" w:eastAsia="Arial" w:hAnsi="Arial"/>
                <w:sz w:val="12"/>
                <w:szCs w:val="12"/>
                <w:color w:val="auto"/>
              </w:rPr>
              <w:t>AECOM's current executive officers are as follows:</w:t>
            </w:r>
          </w:p>
        </w:tc>
        <w:tc>
          <w:tcPr>
            <w:tcW w:w="940" w:type="dxa"/>
            <w:vAlign w:val="bottom"/>
          </w:tcPr>
          <w:p>
            <w:pPr>
              <w:spacing w:after="0"/>
              <w:rPr>
                <w:sz w:val="13"/>
                <w:szCs w:val="13"/>
                <w:color w:val="auto"/>
              </w:rPr>
            </w:pPr>
          </w:p>
        </w:tc>
        <w:tc>
          <w:tcPr>
            <w:tcW w:w="5120" w:type="dxa"/>
            <w:vAlign w:val="bottom"/>
          </w:tcPr>
          <w:p>
            <w:pPr>
              <w:spacing w:after="0"/>
              <w:rPr>
                <w:sz w:val="13"/>
                <w:szCs w:val="13"/>
                <w:color w:val="auto"/>
              </w:rPr>
            </w:pPr>
          </w:p>
        </w:tc>
      </w:tr>
      <w:tr>
        <w:trPr>
          <w:trHeight w:val="272"/>
        </w:trPr>
        <w:tc>
          <w:tcPr>
            <w:tcW w:w="1120" w:type="dxa"/>
            <w:vAlign w:val="bottom"/>
          </w:tcPr>
          <w:p>
            <w:pPr>
              <w:spacing w:after="0"/>
              <w:rPr>
                <w:sz w:val="23"/>
                <w:szCs w:val="23"/>
                <w:color w:val="auto"/>
              </w:rPr>
            </w:pPr>
          </w:p>
        </w:tc>
        <w:tc>
          <w:tcPr>
            <w:tcW w:w="2980" w:type="dxa"/>
            <w:vAlign w:val="bottom"/>
            <w:tcBorders>
              <w:bottom w:val="single" w:sz="8" w:color="00B2E5"/>
            </w:tcBorders>
          </w:tcPr>
          <w:p>
            <w:pPr>
              <w:ind w:left="220"/>
              <w:spacing w:after="0"/>
              <w:rPr>
                <w:sz w:val="20"/>
                <w:szCs w:val="20"/>
                <w:color w:val="auto"/>
              </w:rPr>
            </w:pPr>
            <w:r>
              <w:rPr>
                <w:rFonts w:ascii="Arial" w:cs="Arial" w:eastAsia="Arial" w:hAnsi="Arial"/>
                <w:sz w:val="12"/>
                <w:szCs w:val="12"/>
                <w:b w:val="1"/>
                <w:bCs w:val="1"/>
                <w:color w:val="auto"/>
              </w:rPr>
              <w:t>Name</w:t>
            </w:r>
          </w:p>
        </w:tc>
        <w:tc>
          <w:tcPr>
            <w:tcW w:w="940" w:type="dxa"/>
            <w:vAlign w:val="bottom"/>
            <w:tcBorders>
              <w:bottom w:val="single" w:sz="8" w:color="00B2E5"/>
            </w:tcBorders>
          </w:tcPr>
          <w:p>
            <w:pPr>
              <w:jc w:val="center"/>
              <w:ind w:right="81"/>
              <w:spacing w:after="0"/>
              <w:rPr>
                <w:sz w:val="20"/>
                <w:szCs w:val="20"/>
                <w:color w:val="auto"/>
              </w:rPr>
            </w:pPr>
            <w:r>
              <w:rPr>
                <w:rFonts w:ascii="Arial" w:cs="Arial" w:eastAsia="Arial" w:hAnsi="Arial"/>
                <w:sz w:val="12"/>
                <w:szCs w:val="12"/>
                <w:b w:val="1"/>
                <w:bCs w:val="1"/>
                <w:color w:val="auto"/>
              </w:rPr>
              <w:t>Age</w:t>
            </w:r>
          </w:p>
        </w:tc>
        <w:tc>
          <w:tcPr>
            <w:tcW w:w="5120" w:type="dxa"/>
            <w:vAlign w:val="bottom"/>
            <w:tcBorders>
              <w:bottom w:val="single" w:sz="8" w:color="00B2E5"/>
            </w:tcBorders>
          </w:tcPr>
          <w:p>
            <w:pPr>
              <w:ind w:left="100"/>
              <w:spacing w:after="0"/>
              <w:rPr>
                <w:sz w:val="20"/>
                <w:szCs w:val="20"/>
                <w:color w:val="auto"/>
              </w:rPr>
            </w:pPr>
            <w:r>
              <w:rPr>
                <w:rFonts w:ascii="Arial" w:cs="Arial" w:eastAsia="Arial" w:hAnsi="Arial"/>
                <w:sz w:val="12"/>
                <w:szCs w:val="12"/>
                <w:b w:val="1"/>
                <w:bCs w:val="1"/>
                <w:color w:val="auto"/>
              </w:rPr>
              <w:t>Position(s) Held</w:t>
            </w:r>
          </w:p>
        </w:tc>
      </w:tr>
      <w:tr>
        <w:trPr>
          <w:trHeight w:val="144"/>
        </w:trPr>
        <w:tc>
          <w:tcPr>
            <w:tcW w:w="1120" w:type="dxa"/>
            <w:vAlign w:val="bottom"/>
          </w:tcPr>
          <w:p>
            <w:pPr>
              <w:spacing w:after="0"/>
              <w:rPr>
                <w:sz w:val="12"/>
                <w:szCs w:val="12"/>
                <w:color w:val="auto"/>
              </w:rPr>
            </w:pPr>
          </w:p>
        </w:tc>
        <w:tc>
          <w:tcPr>
            <w:tcW w:w="2980" w:type="dxa"/>
            <w:vAlign w:val="bottom"/>
            <w:tcBorders>
              <w:bottom w:val="single" w:sz="8" w:color="00B2E5"/>
              <w:right w:val="single" w:sz="8" w:color="63C1DF"/>
            </w:tcBorders>
          </w:tcPr>
          <w:p>
            <w:pPr>
              <w:ind w:left="220"/>
              <w:spacing w:after="0"/>
              <w:rPr>
                <w:sz w:val="20"/>
                <w:szCs w:val="20"/>
                <w:color w:val="auto"/>
              </w:rPr>
            </w:pPr>
            <w:r>
              <w:rPr>
                <w:rFonts w:ascii="Arial" w:cs="Arial" w:eastAsia="Arial" w:hAnsi="Arial"/>
                <w:sz w:val="12"/>
                <w:szCs w:val="12"/>
                <w:color w:val="auto"/>
              </w:rPr>
              <w:t>W. Troy Rudd</w:t>
            </w:r>
          </w:p>
        </w:tc>
        <w:tc>
          <w:tcPr>
            <w:tcW w:w="940" w:type="dxa"/>
            <w:vAlign w:val="bottom"/>
            <w:tcBorders>
              <w:bottom w:val="single" w:sz="8" w:color="00B2E5"/>
              <w:right w:val="single" w:sz="8" w:color="63C1DF"/>
            </w:tcBorders>
          </w:tcPr>
          <w:p>
            <w:pPr>
              <w:jc w:val="center"/>
              <w:ind w:right="81"/>
              <w:spacing w:after="0"/>
              <w:rPr>
                <w:sz w:val="20"/>
                <w:szCs w:val="20"/>
                <w:color w:val="auto"/>
              </w:rPr>
            </w:pPr>
            <w:r>
              <w:rPr>
                <w:rFonts w:ascii="Arial" w:cs="Arial" w:eastAsia="Arial" w:hAnsi="Arial"/>
                <w:sz w:val="12"/>
                <w:szCs w:val="12"/>
                <w:color w:val="auto"/>
                <w:w w:val="89"/>
              </w:rPr>
              <w:t>56</w:t>
            </w:r>
          </w:p>
        </w:tc>
        <w:tc>
          <w:tcPr>
            <w:tcW w:w="5120" w:type="dxa"/>
            <w:vAlign w:val="bottom"/>
            <w:tcBorders>
              <w:bottom w:val="single" w:sz="8" w:color="00B2E5"/>
            </w:tcBorders>
          </w:tcPr>
          <w:p>
            <w:pPr>
              <w:ind w:left="100"/>
              <w:spacing w:after="0"/>
              <w:rPr>
                <w:sz w:val="20"/>
                <w:szCs w:val="20"/>
                <w:color w:val="auto"/>
              </w:rPr>
            </w:pPr>
            <w:r>
              <w:rPr>
                <w:rFonts w:ascii="Arial" w:cs="Arial" w:eastAsia="Arial" w:hAnsi="Arial"/>
                <w:sz w:val="12"/>
                <w:szCs w:val="12"/>
                <w:color w:val="auto"/>
              </w:rPr>
              <w:t>Chief Executive Officer</w:t>
            </w:r>
          </w:p>
        </w:tc>
      </w:tr>
      <w:tr>
        <w:trPr>
          <w:trHeight w:val="135"/>
        </w:trPr>
        <w:tc>
          <w:tcPr>
            <w:tcW w:w="1120" w:type="dxa"/>
            <w:vAlign w:val="bottom"/>
          </w:tcPr>
          <w:p>
            <w:pPr>
              <w:spacing w:after="0"/>
              <w:rPr>
                <w:sz w:val="11"/>
                <w:szCs w:val="11"/>
                <w:color w:val="auto"/>
              </w:rPr>
            </w:pPr>
          </w:p>
        </w:tc>
        <w:tc>
          <w:tcPr>
            <w:tcW w:w="2980" w:type="dxa"/>
            <w:vAlign w:val="bottom"/>
            <w:tcBorders>
              <w:bottom w:val="single" w:sz="8" w:color="00B2E5"/>
              <w:right w:val="single" w:sz="8" w:color="63C1DF"/>
            </w:tcBorders>
          </w:tcPr>
          <w:p>
            <w:pPr>
              <w:ind w:left="220"/>
              <w:spacing w:after="0" w:line="135" w:lineRule="exact"/>
              <w:rPr>
                <w:sz w:val="20"/>
                <w:szCs w:val="20"/>
                <w:color w:val="auto"/>
              </w:rPr>
            </w:pPr>
            <w:r>
              <w:rPr>
                <w:rFonts w:ascii="Arial" w:cs="Arial" w:eastAsia="Arial" w:hAnsi="Arial"/>
                <w:sz w:val="12"/>
                <w:szCs w:val="12"/>
                <w:color w:val="auto"/>
              </w:rPr>
              <w:t>Gaurav Kapoor</w:t>
            </w:r>
          </w:p>
        </w:tc>
        <w:tc>
          <w:tcPr>
            <w:tcW w:w="940" w:type="dxa"/>
            <w:vAlign w:val="bottom"/>
            <w:tcBorders>
              <w:bottom w:val="single" w:sz="8" w:color="00B2E5"/>
              <w:right w:val="single" w:sz="8" w:color="63C1DF"/>
            </w:tcBorders>
          </w:tcPr>
          <w:p>
            <w:pPr>
              <w:jc w:val="center"/>
              <w:ind w:right="81"/>
              <w:spacing w:after="0" w:line="135" w:lineRule="exact"/>
              <w:rPr>
                <w:sz w:val="20"/>
                <w:szCs w:val="20"/>
                <w:color w:val="auto"/>
              </w:rPr>
            </w:pPr>
            <w:r>
              <w:rPr>
                <w:rFonts w:ascii="Arial" w:cs="Arial" w:eastAsia="Arial" w:hAnsi="Arial"/>
                <w:sz w:val="12"/>
                <w:szCs w:val="12"/>
                <w:color w:val="auto"/>
                <w:w w:val="89"/>
              </w:rPr>
              <w:t>43</w:t>
            </w:r>
          </w:p>
        </w:tc>
        <w:tc>
          <w:tcPr>
            <w:tcW w:w="5120" w:type="dxa"/>
            <w:vAlign w:val="bottom"/>
            <w:tcBorders>
              <w:bottom w:val="single" w:sz="8" w:color="00B2E5"/>
            </w:tcBorders>
          </w:tcPr>
          <w:p>
            <w:pPr>
              <w:ind w:left="100"/>
              <w:spacing w:after="0" w:line="135" w:lineRule="exact"/>
              <w:rPr>
                <w:sz w:val="20"/>
                <w:szCs w:val="20"/>
                <w:color w:val="auto"/>
              </w:rPr>
            </w:pPr>
            <w:r>
              <w:rPr>
                <w:rFonts w:ascii="Arial" w:cs="Arial" w:eastAsia="Arial" w:hAnsi="Arial"/>
                <w:sz w:val="12"/>
                <w:szCs w:val="12"/>
                <w:color w:val="auto"/>
              </w:rPr>
              <w:t>Chief Financial Officer</w:t>
            </w:r>
          </w:p>
        </w:tc>
      </w:tr>
      <w:tr>
        <w:trPr>
          <w:trHeight w:val="135"/>
        </w:trPr>
        <w:tc>
          <w:tcPr>
            <w:tcW w:w="1120" w:type="dxa"/>
            <w:vAlign w:val="bottom"/>
          </w:tcPr>
          <w:p>
            <w:pPr>
              <w:spacing w:after="0"/>
              <w:rPr>
                <w:sz w:val="11"/>
                <w:szCs w:val="11"/>
                <w:color w:val="auto"/>
              </w:rPr>
            </w:pPr>
          </w:p>
        </w:tc>
        <w:tc>
          <w:tcPr>
            <w:tcW w:w="2980" w:type="dxa"/>
            <w:vAlign w:val="bottom"/>
            <w:tcBorders>
              <w:bottom w:val="single" w:sz="8" w:color="00B2E5"/>
              <w:right w:val="single" w:sz="8" w:color="63C1DF"/>
            </w:tcBorders>
          </w:tcPr>
          <w:p>
            <w:pPr>
              <w:ind w:left="220"/>
              <w:spacing w:after="0" w:line="135" w:lineRule="exact"/>
              <w:rPr>
                <w:sz w:val="20"/>
                <w:szCs w:val="20"/>
                <w:color w:val="auto"/>
              </w:rPr>
            </w:pPr>
            <w:r>
              <w:rPr>
                <w:rFonts w:ascii="Arial" w:cs="Arial" w:eastAsia="Arial" w:hAnsi="Arial"/>
                <w:sz w:val="12"/>
                <w:szCs w:val="12"/>
                <w:color w:val="auto"/>
              </w:rPr>
              <w:t>Lara Poloni</w:t>
            </w:r>
          </w:p>
        </w:tc>
        <w:tc>
          <w:tcPr>
            <w:tcW w:w="940" w:type="dxa"/>
            <w:vAlign w:val="bottom"/>
            <w:tcBorders>
              <w:bottom w:val="single" w:sz="8" w:color="00B2E5"/>
              <w:right w:val="single" w:sz="8" w:color="63C1DF"/>
            </w:tcBorders>
          </w:tcPr>
          <w:p>
            <w:pPr>
              <w:jc w:val="center"/>
              <w:ind w:right="81"/>
              <w:spacing w:after="0" w:line="135" w:lineRule="exact"/>
              <w:rPr>
                <w:sz w:val="20"/>
                <w:szCs w:val="20"/>
                <w:color w:val="auto"/>
              </w:rPr>
            </w:pPr>
            <w:r>
              <w:rPr>
                <w:rFonts w:ascii="Arial" w:cs="Arial" w:eastAsia="Arial" w:hAnsi="Arial"/>
                <w:sz w:val="12"/>
                <w:szCs w:val="12"/>
                <w:color w:val="auto"/>
                <w:w w:val="89"/>
              </w:rPr>
              <w:t>52</w:t>
            </w:r>
          </w:p>
        </w:tc>
        <w:tc>
          <w:tcPr>
            <w:tcW w:w="5120" w:type="dxa"/>
            <w:vAlign w:val="bottom"/>
            <w:tcBorders>
              <w:bottom w:val="single" w:sz="8" w:color="00B2E5"/>
            </w:tcBorders>
          </w:tcPr>
          <w:p>
            <w:pPr>
              <w:ind w:left="100"/>
              <w:spacing w:after="0" w:line="135" w:lineRule="exact"/>
              <w:rPr>
                <w:sz w:val="20"/>
                <w:szCs w:val="20"/>
                <w:color w:val="auto"/>
              </w:rPr>
            </w:pPr>
            <w:r>
              <w:rPr>
                <w:rFonts w:ascii="Arial" w:cs="Arial" w:eastAsia="Arial" w:hAnsi="Arial"/>
                <w:sz w:val="12"/>
                <w:szCs w:val="12"/>
                <w:color w:val="auto"/>
              </w:rPr>
              <w:t>President</w:t>
            </w:r>
          </w:p>
        </w:tc>
      </w:tr>
      <w:tr>
        <w:trPr>
          <w:trHeight w:val="135"/>
        </w:trPr>
        <w:tc>
          <w:tcPr>
            <w:tcW w:w="1120" w:type="dxa"/>
            <w:vAlign w:val="bottom"/>
          </w:tcPr>
          <w:p>
            <w:pPr>
              <w:spacing w:after="0"/>
              <w:rPr>
                <w:sz w:val="11"/>
                <w:szCs w:val="11"/>
                <w:color w:val="auto"/>
              </w:rPr>
            </w:pPr>
          </w:p>
        </w:tc>
        <w:tc>
          <w:tcPr>
            <w:tcW w:w="2980" w:type="dxa"/>
            <w:vAlign w:val="bottom"/>
            <w:tcBorders>
              <w:bottom w:val="single" w:sz="8" w:color="00B2E5"/>
              <w:right w:val="single" w:sz="8" w:color="63C1DF"/>
            </w:tcBorders>
          </w:tcPr>
          <w:p>
            <w:pPr>
              <w:ind w:left="220"/>
              <w:spacing w:after="0" w:line="135" w:lineRule="exact"/>
              <w:rPr>
                <w:sz w:val="20"/>
                <w:szCs w:val="20"/>
                <w:color w:val="auto"/>
              </w:rPr>
            </w:pPr>
            <w:r>
              <w:rPr>
                <w:rFonts w:ascii="Arial" w:cs="Arial" w:eastAsia="Arial" w:hAnsi="Arial"/>
                <w:sz w:val="12"/>
                <w:szCs w:val="12"/>
                <w:color w:val="auto"/>
              </w:rPr>
              <w:t>David Gan</w:t>
            </w:r>
          </w:p>
        </w:tc>
        <w:tc>
          <w:tcPr>
            <w:tcW w:w="940" w:type="dxa"/>
            <w:vAlign w:val="bottom"/>
            <w:tcBorders>
              <w:bottom w:val="single" w:sz="8" w:color="00B2E5"/>
              <w:right w:val="single" w:sz="8" w:color="63C1DF"/>
            </w:tcBorders>
          </w:tcPr>
          <w:p>
            <w:pPr>
              <w:jc w:val="center"/>
              <w:ind w:right="81"/>
              <w:spacing w:after="0" w:line="135" w:lineRule="exact"/>
              <w:rPr>
                <w:sz w:val="20"/>
                <w:szCs w:val="20"/>
                <w:color w:val="auto"/>
              </w:rPr>
            </w:pPr>
            <w:r>
              <w:rPr>
                <w:rFonts w:ascii="Arial" w:cs="Arial" w:eastAsia="Arial" w:hAnsi="Arial"/>
                <w:sz w:val="12"/>
                <w:szCs w:val="12"/>
                <w:color w:val="auto"/>
                <w:w w:val="89"/>
              </w:rPr>
              <w:t>48</w:t>
            </w:r>
          </w:p>
        </w:tc>
        <w:tc>
          <w:tcPr>
            <w:tcW w:w="5120" w:type="dxa"/>
            <w:vAlign w:val="bottom"/>
            <w:tcBorders>
              <w:bottom w:val="single" w:sz="8" w:color="00B2E5"/>
            </w:tcBorders>
          </w:tcPr>
          <w:p>
            <w:pPr>
              <w:ind w:left="100"/>
              <w:spacing w:after="0" w:line="135" w:lineRule="exact"/>
              <w:rPr>
                <w:sz w:val="20"/>
                <w:szCs w:val="20"/>
                <w:color w:val="auto"/>
              </w:rPr>
            </w:pPr>
            <w:r>
              <w:rPr>
                <w:rFonts w:ascii="Arial" w:cs="Arial" w:eastAsia="Arial" w:hAnsi="Arial"/>
                <w:sz w:val="12"/>
                <w:szCs w:val="12"/>
                <w:color w:val="auto"/>
              </w:rPr>
              <w:t>Chief Legal Officer</w:t>
            </w:r>
          </w:p>
        </w:tc>
      </w:tr>
      <w:tr>
        <w:trPr>
          <w:trHeight w:val="135"/>
        </w:trPr>
        <w:tc>
          <w:tcPr>
            <w:tcW w:w="1120" w:type="dxa"/>
            <w:vAlign w:val="bottom"/>
          </w:tcPr>
          <w:p>
            <w:pPr>
              <w:spacing w:after="0"/>
              <w:rPr>
                <w:sz w:val="11"/>
                <w:szCs w:val="11"/>
                <w:color w:val="auto"/>
              </w:rPr>
            </w:pPr>
          </w:p>
        </w:tc>
        <w:tc>
          <w:tcPr>
            <w:tcW w:w="2980" w:type="dxa"/>
            <w:vAlign w:val="bottom"/>
            <w:tcBorders>
              <w:bottom w:val="single" w:sz="8" w:color="00B2E5"/>
              <w:right w:val="single" w:sz="8" w:color="63C1DF"/>
            </w:tcBorders>
          </w:tcPr>
          <w:p>
            <w:pPr>
              <w:ind w:left="220"/>
              <w:spacing w:after="0" w:line="135" w:lineRule="exact"/>
              <w:rPr>
                <w:sz w:val="20"/>
                <w:szCs w:val="20"/>
                <w:color w:val="auto"/>
              </w:rPr>
            </w:pPr>
            <w:r>
              <w:rPr>
                <w:rFonts w:ascii="Arial" w:cs="Arial" w:eastAsia="Arial" w:hAnsi="Arial"/>
                <w:sz w:val="12"/>
                <w:szCs w:val="12"/>
                <w:color w:val="auto"/>
              </w:rPr>
              <w:t>Todd Battley</w:t>
            </w:r>
          </w:p>
        </w:tc>
        <w:tc>
          <w:tcPr>
            <w:tcW w:w="940" w:type="dxa"/>
            <w:vAlign w:val="bottom"/>
            <w:tcBorders>
              <w:bottom w:val="single" w:sz="8" w:color="00B2E5"/>
              <w:right w:val="single" w:sz="8" w:color="63C1DF"/>
            </w:tcBorders>
          </w:tcPr>
          <w:p>
            <w:pPr>
              <w:jc w:val="center"/>
              <w:ind w:right="81"/>
              <w:spacing w:after="0" w:line="135" w:lineRule="exact"/>
              <w:rPr>
                <w:sz w:val="20"/>
                <w:szCs w:val="20"/>
                <w:color w:val="auto"/>
              </w:rPr>
            </w:pPr>
            <w:r>
              <w:rPr>
                <w:rFonts w:ascii="Arial" w:cs="Arial" w:eastAsia="Arial" w:hAnsi="Arial"/>
                <w:sz w:val="12"/>
                <w:szCs w:val="12"/>
                <w:color w:val="auto"/>
                <w:w w:val="89"/>
              </w:rPr>
              <w:t>47</w:t>
            </w:r>
          </w:p>
        </w:tc>
        <w:tc>
          <w:tcPr>
            <w:tcW w:w="5120" w:type="dxa"/>
            <w:vAlign w:val="bottom"/>
            <w:tcBorders>
              <w:bottom w:val="single" w:sz="8" w:color="00B2E5"/>
            </w:tcBorders>
          </w:tcPr>
          <w:p>
            <w:pPr>
              <w:ind w:left="100"/>
              <w:spacing w:after="0" w:line="135" w:lineRule="exact"/>
              <w:rPr>
                <w:sz w:val="20"/>
                <w:szCs w:val="20"/>
                <w:color w:val="auto"/>
              </w:rPr>
            </w:pPr>
            <w:r>
              <w:rPr>
                <w:rFonts w:ascii="Arial" w:cs="Arial" w:eastAsia="Arial" w:hAnsi="Arial"/>
                <w:sz w:val="12"/>
                <w:szCs w:val="12"/>
                <w:color w:val="auto"/>
              </w:rPr>
              <w:t>Chief Strategy Officer</w:t>
            </w:r>
          </w:p>
        </w:tc>
      </w:tr>
      <w:tr>
        <w:trPr>
          <w:trHeight w:val="135"/>
        </w:trPr>
        <w:tc>
          <w:tcPr>
            <w:tcW w:w="1120" w:type="dxa"/>
            <w:vAlign w:val="bottom"/>
          </w:tcPr>
          <w:p>
            <w:pPr>
              <w:spacing w:after="0"/>
              <w:rPr>
                <w:sz w:val="11"/>
                <w:szCs w:val="11"/>
                <w:color w:val="auto"/>
              </w:rPr>
            </w:pPr>
          </w:p>
        </w:tc>
        <w:tc>
          <w:tcPr>
            <w:tcW w:w="2980" w:type="dxa"/>
            <w:vAlign w:val="bottom"/>
            <w:tcBorders>
              <w:bottom w:val="single" w:sz="8" w:color="00B2E5"/>
              <w:right w:val="single" w:sz="8" w:color="63C1DF"/>
            </w:tcBorders>
          </w:tcPr>
          <w:p>
            <w:pPr>
              <w:ind w:left="220"/>
              <w:spacing w:after="0" w:line="135" w:lineRule="exact"/>
              <w:rPr>
                <w:sz w:val="20"/>
                <w:szCs w:val="20"/>
                <w:color w:val="auto"/>
              </w:rPr>
            </w:pPr>
            <w:r>
              <w:rPr>
                <w:rFonts w:ascii="Arial" w:cs="Arial" w:eastAsia="Arial" w:hAnsi="Arial"/>
                <w:sz w:val="12"/>
                <w:szCs w:val="12"/>
                <w:color w:val="auto"/>
              </w:rPr>
              <w:t>Shirley Adams</w:t>
            </w:r>
          </w:p>
        </w:tc>
        <w:tc>
          <w:tcPr>
            <w:tcW w:w="940" w:type="dxa"/>
            <w:vAlign w:val="bottom"/>
            <w:tcBorders>
              <w:bottom w:val="single" w:sz="8" w:color="00B2E5"/>
              <w:right w:val="single" w:sz="8" w:color="63C1DF"/>
            </w:tcBorders>
          </w:tcPr>
          <w:p>
            <w:pPr>
              <w:jc w:val="center"/>
              <w:ind w:right="81"/>
              <w:spacing w:after="0" w:line="135" w:lineRule="exact"/>
              <w:rPr>
                <w:sz w:val="20"/>
                <w:szCs w:val="20"/>
                <w:color w:val="auto"/>
              </w:rPr>
            </w:pPr>
            <w:r>
              <w:rPr>
                <w:rFonts w:ascii="Arial" w:cs="Arial" w:eastAsia="Arial" w:hAnsi="Arial"/>
                <w:sz w:val="12"/>
                <w:szCs w:val="12"/>
                <w:color w:val="auto"/>
                <w:w w:val="89"/>
              </w:rPr>
              <w:t>61</w:t>
            </w:r>
          </w:p>
        </w:tc>
        <w:tc>
          <w:tcPr>
            <w:tcW w:w="5120" w:type="dxa"/>
            <w:vAlign w:val="bottom"/>
            <w:tcBorders>
              <w:bottom w:val="single" w:sz="8" w:color="00B2E5"/>
            </w:tcBorders>
          </w:tcPr>
          <w:p>
            <w:pPr>
              <w:ind w:left="100"/>
              <w:spacing w:after="0" w:line="135" w:lineRule="exact"/>
              <w:rPr>
                <w:sz w:val="20"/>
                <w:szCs w:val="20"/>
                <w:color w:val="auto"/>
              </w:rPr>
            </w:pPr>
            <w:r>
              <w:rPr>
                <w:rFonts w:ascii="Arial" w:cs="Arial" w:eastAsia="Arial" w:hAnsi="Arial"/>
                <w:sz w:val="12"/>
                <w:szCs w:val="12"/>
                <w:color w:val="auto"/>
              </w:rPr>
              <w:t>Chief Human Resource Officer</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section sets forth certain background information regarding those persons currently serving as executive officers of AECOM:</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12"/>
          <w:szCs w:val="12"/>
          <w:i w:val="1"/>
          <w:iCs w:val="1"/>
          <w:color w:val="auto"/>
        </w:rPr>
        <w:t xml:space="preserve">W. Troy Rudd </w:t>
      </w:r>
      <w:r>
        <w:rPr>
          <w:rFonts w:ascii="Arial" w:cs="Arial" w:eastAsia="Arial" w:hAnsi="Arial"/>
          <w:sz w:val="12"/>
          <w:szCs w:val="12"/>
          <w:color w:val="auto"/>
        </w:rPr>
        <w:t>was appointed Chief Executive Officer in August 2020. He previously served as Executive Vice President and Chief Financial Officer from October 2015 to August 2020. Prior to this role, Mr. Rudd</w:t>
      </w:r>
      <w:r>
        <w:rPr>
          <w:rFonts w:ascii="Arial" w:cs="Arial" w:eastAsia="Arial" w:hAnsi="Arial"/>
          <w:sz w:val="12"/>
          <w:szCs w:val="12"/>
          <w:i w:val="1"/>
          <w:iCs w:val="1"/>
          <w:color w:val="auto"/>
        </w:rPr>
        <w:t xml:space="preserve"> </w:t>
      </w:r>
      <w:r>
        <w:rPr>
          <w:rFonts w:ascii="Arial" w:cs="Arial" w:eastAsia="Arial" w:hAnsi="Arial"/>
          <w:sz w:val="12"/>
          <w:szCs w:val="12"/>
          <w:color w:val="auto"/>
        </w:rPr>
        <w:t>served as Chief Operating Officer, Design Consulting Services ("DCS") Americas and Chief Financial Officer, DCS Global from November 2014 to October 2015. He also served as Senior Vice President, Corporate Finance and Treasurer from 2012 until October 2015. Mr. Rudd joined AECOM in 2009 as Vice President, Financial Planning and Analysis. Prior to joining AECOM, he spent 10 years as a partner with KPMG LLP, where he held various leadership roles.</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12"/>
          <w:szCs w:val="12"/>
          <w:i w:val="1"/>
          <w:iCs w:val="1"/>
          <w:color w:val="auto"/>
        </w:rPr>
        <w:t xml:space="preserve">Gaurav Kapoor </w:t>
      </w:r>
      <w:r>
        <w:rPr>
          <w:rFonts w:ascii="Arial" w:cs="Arial" w:eastAsia="Arial" w:hAnsi="Arial"/>
          <w:sz w:val="12"/>
          <w:szCs w:val="12"/>
          <w:color w:val="auto"/>
        </w:rPr>
        <w:t>was appointed Chief Financial Officer in August 2020. Mr. Kapoor has extensive financial leadership experience at AECOM, having served as Chief Accounting Officer and Global Controller since</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2016 and Treasurer since October 2019. He previously served in leadership roles at the Company as Senior Vice President, Financial Planning &amp; Analysis from January 2016 to December 2016 and Senior Vice President, Project Delivery, Americas Design Consulting Services from May 2015 to January 2016. Prior to joining the Company in May 2015, Mr. Kapoor spent 15 years at Ernst &amp; Young LLP, where he was an audit partner and held various leadership roles.</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12"/>
          <w:szCs w:val="12"/>
          <w:i w:val="1"/>
          <w:iCs w:val="1"/>
          <w:color w:val="auto"/>
        </w:rPr>
        <w:t xml:space="preserve">Lara Poloni </w:t>
      </w:r>
      <w:r>
        <w:rPr>
          <w:rFonts w:ascii="Arial" w:cs="Arial" w:eastAsia="Arial" w:hAnsi="Arial"/>
          <w:sz w:val="12"/>
          <w:szCs w:val="12"/>
          <w:color w:val="auto"/>
        </w:rPr>
        <w:t>was appointed President in August 2020. She previously served as Chief Executive of Europe, Middle East, India and Africa (EMIA) in October 2017. EMIA was reorganized in October 2018 to Europe,</w:t>
      </w:r>
      <w:r>
        <w:rPr>
          <w:rFonts w:ascii="Arial" w:cs="Arial" w:eastAsia="Arial" w:hAnsi="Arial"/>
          <w:sz w:val="12"/>
          <w:szCs w:val="12"/>
          <w:i w:val="1"/>
          <w:iCs w:val="1"/>
          <w:color w:val="auto"/>
        </w:rPr>
        <w:t xml:space="preserve"> </w:t>
      </w:r>
      <w:r>
        <w:rPr>
          <w:rFonts w:ascii="Arial" w:cs="Arial" w:eastAsia="Arial" w:hAnsi="Arial"/>
          <w:sz w:val="12"/>
          <w:szCs w:val="12"/>
          <w:color w:val="auto"/>
        </w:rPr>
        <w:t>Middle East and Africa ("EMEA"). Ms. Poloni previously served as Chief Executive of Australia New Zealand (ANZ) from July 2014 to September 2017, Managing Director of the Southern Australian Region from June 2012 to June 2014, Managing Director of Environment ANZ from 2009 to 2012 and Group Leader of Transportation VicSA from October 2006 to July 2009. Prior to joining AECOM, Ms. Poloni worked in the planning, assessment and development of major infrastructure in the transport, energy and telecommunications sectors, serving as Group Manager of Planning and Environment for civil engineering firm Maunsell from January 2002 to September 2006. She was also previously a Board Member of Infrastructure Partnerships Australia.</w:t>
      </w:r>
    </w:p>
    <w:p>
      <w:pPr>
        <w:spacing w:after="0" w:line="119"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i w:val="1"/>
          <w:iCs w:val="1"/>
          <w:color w:val="auto"/>
        </w:rPr>
        <w:t xml:space="preserve">David Gan </w:t>
      </w:r>
      <w:r>
        <w:rPr>
          <w:rFonts w:ascii="Arial" w:cs="Arial" w:eastAsia="Arial" w:hAnsi="Arial"/>
          <w:sz w:val="12"/>
          <w:szCs w:val="12"/>
          <w:color w:val="auto"/>
        </w:rPr>
        <w:t>was appointed Chief Legal Officer in November 2019. In this role Mr. Gan is responsible for all aspects of the global legal function, including corporate governance, risk management and ethics and</w:t>
      </w:r>
      <w:r>
        <w:rPr>
          <w:rFonts w:ascii="Arial" w:cs="Arial" w:eastAsia="Arial" w:hAnsi="Arial"/>
          <w:sz w:val="12"/>
          <w:szCs w:val="12"/>
          <w:i w:val="1"/>
          <w:iCs w:val="1"/>
          <w:color w:val="auto"/>
        </w:rPr>
        <w:t xml:space="preserve"> </w:t>
      </w:r>
      <w:r>
        <w:rPr>
          <w:rFonts w:ascii="Arial" w:cs="Arial" w:eastAsia="Arial" w:hAnsi="Arial"/>
          <w:sz w:val="12"/>
          <w:szCs w:val="12"/>
          <w:color w:val="auto"/>
        </w:rPr>
        <w:t>compliance. He previously served in legal leadership roles at AECOM most recently as Senior Vice President, Deputy General Counsel, AECOM from October 2014 to November 2019 and General Counsel, AECOM Capital, from January 2018 to November 2019. Prior to joining AECOM in 2006, Mr. Gan was a corporate and securities lawyer at Mayer Brown LLP and Wilson Sonsini Goodrich &amp; Rosati, P.C.</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i w:val="1"/>
          <w:iCs w:val="1"/>
          <w:color w:val="auto"/>
        </w:rPr>
        <w:t xml:space="preserve">Todd Battley </w:t>
      </w:r>
      <w:r>
        <w:rPr>
          <w:rFonts w:ascii="Arial" w:cs="Arial" w:eastAsia="Arial" w:hAnsi="Arial"/>
          <w:sz w:val="12"/>
          <w:szCs w:val="12"/>
          <w:color w:val="auto"/>
        </w:rPr>
        <w:t>was appointed Chief Strategy Officer in November 2020. In this role, Mr. Battley drives AECOM's growth strategy by bringing the best of the Company's enterprise capability to key clients. His areas of</w:t>
      </w:r>
      <w:r>
        <w:rPr>
          <w:rFonts w:ascii="Arial" w:cs="Arial" w:eastAsia="Arial" w:hAnsi="Arial"/>
          <w:sz w:val="12"/>
          <w:szCs w:val="12"/>
          <w:i w:val="1"/>
          <w:iCs w:val="1"/>
          <w:color w:val="auto"/>
        </w:rPr>
        <w:t xml:space="preserve"> </w:t>
      </w:r>
      <w:r>
        <w:rPr>
          <w:rFonts w:ascii="Arial" w:cs="Arial" w:eastAsia="Arial" w:hAnsi="Arial"/>
          <w:sz w:val="12"/>
          <w:szCs w:val="12"/>
          <w:color w:val="auto"/>
        </w:rPr>
        <w:t>responsibility include digital transformation and ensuring our people have access to the digital tools and systems that will support innovation and deliver client service excellence. Previously, Mr. Battley was the Chief Executive of AECOM Australia New Zealand from September 2017 to November 2020. Mr. Battley joined AECOM in 1996.</w:t>
      </w:r>
    </w:p>
    <w:p>
      <w:pPr>
        <w:spacing w:after="0" w:line="114"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i w:val="1"/>
          <w:iCs w:val="1"/>
          <w:color w:val="auto"/>
        </w:rPr>
        <w:t xml:space="preserve">Shirley Adams </w:t>
      </w:r>
      <w:r>
        <w:rPr>
          <w:rFonts w:ascii="Arial" w:cs="Arial" w:eastAsia="Arial" w:hAnsi="Arial"/>
          <w:sz w:val="12"/>
          <w:szCs w:val="12"/>
          <w:color w:val="auto"/>
        </w:rPr>
        <w:t>was appointed Chief Human Resources Officer in November 2020. In this role, Ms. Adams is responsible for all Human Resources services globally. Her areas of responsibility include talent</w:t>
      </w:r>
      <w:r>
        <w:rPr>
          <w:rFonts w:ascii="Arial" w:cs="Arial" w:eastAsia="Arial" w:hAnsi="Arial"/>
          <w:sz w:val="12"/>
          <w:szCs w:val="12"/>
          <w:i w:val="1"/>
          <w:iCs w:val="1"/>
          <w:color w:val="auto"/>
        </w:rPr>
        <w:t xml:space="preserve"> </w:t>
      </w:r>
      <w:r>
        <w:rPr>
          <w:rFonts w:ascii="Arial" w:cs="Arial" w:eastAsia="Arial" w:hAnsi="Arial"/>
          <w:sz w:val="12"/>
          <w:szCs w:val="12"/>
          <w:color w:val="auto"/>
        </w:rPr>
        <w:t>acquisition, management and executive development, employee relations and training, performance management, diversity,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4" w:name="page65"/>
    <w:bookmarkEnd w:id="64"/>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organization planning and effectiveness, and the Company's performance-appraisal processes. Previously, Ms. Adams served as AECOM's Senior Vice Present of Human Resources for its Europe, Middle East and Africa geography from June 2016 to November 2020. Prior to joining AECOM in 2016, she held several roles during her tenure at Accenture, including Head of Global Geographic HR Operations, HR Managing Director of Accenture's Global Management Consulting business and Global HR Business Partner.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5" w:name="page66"/>
    <w:bookmarkEnd w:id="65"/>
    <w:p>
      <w:pPr>
        <w:ind w:left="7"/>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ind w:left="7"/>
        <w:spacing w:after="0"/>
        <w:rPr>
          <w:sz w:val="20"/>
          <w:szCs w:val="20"/>
          <w:color w:val="auto"/>
        </w:rPr>
      </w:pPr>
      <w:r>
        <w:rPr>
          <w:rFonts w:ascii="Arial" w:cs="Arial" w:eastAsia="Arial" w:hAnsi="Arial"/>
          <w:sz w:val="28"/>
          <w:szCs w:val="28"/>
          <w:b w:val="1"/>
          <w:bCs w:val="1"/>
          <w:color w:val="00B2E5"/>
        </w:rPr>
        <w:t>COMPENSATION DISCUSSION AND ANALYSIS</w:t>
      </w:r>
    </w:p>
    <w:p>
      <w:pPr>
        <w:spacing w:after="0" w:line="17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00B2E5"/>
        </w:rPr>
        <w:t>Executive Summary</w:t>
      </w:r>
    </w:p>
    <w:p>
      <w:pPr>
        <w:sectPr>
          <w:pgSz w:w="11900" w:h="16838" w:orient="portrait"/>
          <w:cols w:equalWidth="0" w:num="1">
            <w:col w:w="11287"/>
          </w:cols>
          <w:pgMar w:left="293" w:top="128" w:right="319" w:bottom="1440" w:gutter="0" w:footer="0" w:header="0"/>
        </w:sectPr>
      </w:pPr>
    </w:p>
    <w:p>
      <w:pPr>
        <w:spacing w:after="0" w:line="175" w:lineRule="exact"/>
        <w:rPr>
          <w:sz w:val="20"/>
          <w:szCs w:val="20"/>
          <w:color w:val="auto"/>
        </w:rPr>
      </w:pPr>
    </w:p>
    <w:p>
      <w:pPr>
        <w:ind w:left="7"/>
        <w:spacing w:after="0" w:line="298" w:lineRule="auto"/>
        <w:rPr>
          <w:sz w:val="20"/>
          <w:szCs w:val="20"/>
          <w:color w:val="auto"/>
        </w:rPr>
      </w:pPr>
      <w:r>
        <w:rPr>
          <w:rFonts w:ascii="Arial" w:cs="Arial" w:eastAsia="Arial" w:hAnsi="Arial"/>
          <w:sz w:val="11"/>
          <w:szCs w:val="11"/>
          <w:b w:val="1"/>
          <w:bCs w:val="1"/>
          <w:color w:val="FFFFFE"/>
        </w:rPr>
        <w:t>Why approve our Say-on-Pay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-307340</wp:posOffset>
            </wp:positionV>
            <wp:extent cx="648335" cy="3009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8335" cy="3009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37" w:hanging="137"/>
        <w:spacing w:after="0"/>
        <w:tabs>
          <w:tab w:leader="none" w:pos="137" w:val="left"/>
        </w:tabs>
        <w:numPr>
          <w:ilvl w:val="0"/>
          <w:numId w:val="29"/>
        </w:numPr>
        <w:rPr>
          <w:rFonts w:ascii="MS PGothic" w:cs="MS PGothic" w:eastAsia="MS PGothic" w:hAnsi="MS PGothic"/>
          <w:sz w:val="12"/>
          <w:szCs w:val="12"/>
          <w:color w:val="auto"/>
        </w:rPr>
      </w:pPr>
      <w:r>
        <w:rPr>
          <w:rFonts w:ascii="Arial" w:cs="Arial" w:eastAsia="Arial" w:hAnsi="Arial"/>
          <w:sz w:val="10"/>
          <w:szCs w:val="10"/>
          <w:b w:val="1"/>
          <w:bCs w:val="1"/>
          <w:color w:val="auto"/>
        </w:rPr>
        <w:t>Fiscal Year 2020 executive pay aligned with the strength of our financial performance and stock price outperformance</w:t>
      </w:r>
    </w:p>
    <w:p>
      <w:pPr>
        <w:spacing w:after="0" w:line="130" w:lineRule="exact"/>
        <w:rPr>
          <w:rFonts w:ascii="MS PGothic" w:cs="MS PGothic" w:eastAsia="MS PGothic" w:hAnsi="MS PGothic"/>
          <w:sz w:val="12"/>
          <w:szCs w:val="12"/>
          <w:color w:val="auto"/>
        </w:rPr>
      </w:pPr>
    </w:p>
    <w:p>
      <w:pPr>
        <w:ind w:left="137" w:hanging="137"/>
        <w:spacing w:after="0" w:line="252" w:lineRule="auto"/>
        <w:tabs>
          <w:tab w:leader="none" w:pos="137" w:val="left"/>
        </w:tabs>
        <w:numPr>
          <w:ilvl w:val="0"/>
          <w:numId w:val="29"/>
        </w:numPr>
        <w:rPr>
          <w:rFonts w:ascii="MS PGothic" w:cs="MS PGothic" w:eastAsia="MS PGothic" w:hAnsi="MS PGothic"/>
          <w:sz w:val="12"/>
          <w:szCs w:val="12"/>
          <w:color w:val="auto"/>
        </w:rPr>
      </w:pPr>
      <w:r>
        <w:rPr>
          <w:rFonts w:ascii="Arial" w:cs="Arial" w:eastAsia="Arial" w:hAnsi="Arial"/>
          <w:sz w:val="10"/>
          <w:szCs w:val="10"/>
          <w:b w:val="1"/>
          <w:bCs w:val="1"/>
          <w:color w:val="auto"/>
        </w:rPr>
        <w:t>Best in class shareholder outreach and responsiveness to feedback as evidenced by the decrease in CEO Annual Target Pay and enhancements to our incentive plan design and rigor of goals to address shareholder input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-315595</wp:posOffset>
            </wp:positionV>
            <wp:extent cx="6528435" cy="3009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28435" cy="30099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807" w:space="323"/>
            <w:col w:w="10157"/>
          </w:cols>
          <w:pgMar w:left="293" w:top="128" w:right="319" w:bottom="1440" w:gutter="0" w:footer="0" w:header="0"/>
          <w:type w:val="continuous"/>
        </w:sectPr>
      </w:pPr>
    </w:p>
    <w:p>
      <w:pPr>
        <w:ind w:left="287" w:hanging="287"/>
        <w:spacing w:after="0"/>
        <w:tabs>
          <w:tab w:leader="none" w:pos="287" w:val="left"/>
        </w:tabs>
        <w:numPr>
          <w:ilvl w:val="0"/>
          <w:numId w:val="30"/>
        </w:numPr>
        <w:rPr>
          <w:rFonts w:ascii="MS PGothic" w:cs="MS PGothic" w:eastAsia="MS PGothic" w:hAnsi="MS PGothic"/>
          <w:sz w:val="15"/>
          <w:szCs w:val="15"/>
          <w:color w:val="auto"/>
        </w:rPr>
      </w:pPr>
      <w:r>
        <w:rPr>
          <w:rFonts w:ascii="Arial" w:cs="Arial" w:eastAsia="Arial" w:hAnsi="Arial"/>
          <w:sz w:val="15"/>
          <w:szCs w:val="15"/>
          <w:b w:val="1"/>
          <w:bCs w:val="1"/>
          <w:color w:val="00B2E5"/>
        </w:rPr>
        <w:t>Fiscal Year 2020 Financial and TSR Outperformance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-74295</wp:posOffset>
            </wp:positionV>
            <wp:extent cx="52070" cy="533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070" cy="53340"/>
                    </a:xfrm>
                    <a:prstGeom prst="rect">
                      <a:avLst/>
                    </a:prstGeom>
                    <a:noFill/>
                  </pic:spPr>
                </pic:pic>
              </a:graphicData>
            </a:graphic>
          </wp:anchor>
        </w:drawing>
      </w:r>
    </w:p>
    <w:p>
      <w:pPr>
        <w:spacing w:after="0" w:line="117" w:lineRule="exact"/>
        <w:rPr>
          <w:sz w:val="20"/>
          <w:szCs w:val="20"/>
          <w:color w:val="auto"/>
        </w:rPr>
      </w:pPr>
    </w:p>
    <w:p>
      <w:pPr>
        <w:ind w:left="287"/>
        <w:spacing w:after="0"/>
        <w:rPr>
          <w:sz w:val="20"/>
          <w:szCs w:val="20"/>
          <w:color w:val="auto"/>
        </w:rPr>
      </w:pPr>
      <w:r>
        <w:rPr>
          <w:rFonts w:ascii="Arial" w:cs="Arial" w:eastAsia="Arial" w:hAnsi="Arial"/>
          <w:sz w:val="15"/>
          <w:szCs w:val="15"/>
          <w:b w:val="1"/>
          <w:bCs w:val="1"/>
          <w:color w:val="FFFFFE"/>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176770" cy="19100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770" cy="1910080"/>
                    </a:xfrm>
                    <a:prstGeom prst="rect">
                      <a:avLst/>
                    </a:prstGeom>
                    <a:noFill/>
                  </pic:spPr>
                </pic:pic>
              </a:graphicData>
            </a:graphic>
          </wp:anchor>
        </w:drawing>
      </w:r>
    </w:p>
    <w:p>
      <w:pPr>
        <w:ind w:left="287"/>
        <w:spacing w:after="0"/>
        <w:rPr>
          <w:sz w:val="20"/>
          <w:szCs w:val="20"/>
          <w:color w:val="auto"/>
        </w:rPr>
      </w:pPr>
      <w:r>
        <w:rPr>
          <w:rFonts w:ascii="Arial" w:cs="Arial" w:eastAsia="Arial" w:hAnsi="Arial"/>
          <w:sz w:val="10"/>
          <w:szCs w:val="10"/>
          <w:color w:val="auto"/>
        </w:rPr>
        <w:t>AECOM exceeded its financial guidance on every key financial metric despite headwinds from COVID-19:</w:t>
      </w:r>
    </w:p>
    <w:p>
      <w:pPr>
        <w:ind w:left="507" w:hanging="215"/>
        <w:spacing w:after="0" w:line="220" w:lineRule="auto"/>
        <w:tabs>
          <w:tab w:leader="none" w:pos="507" w:val="left"/>
        </w:tabs>
        <w:numPr>
          <w:ilvl w:val="0"/>
          <w:numId w:val="31"/>
        </w:numPr>
        <w:rPr>
          <w:rFonts w:ascii="Arial" w:cs="Arial" w:eastAsia="Arial" w:hAnsi="Arial"/>
          <w:sz w:val="19"/>
          <w:szCs w:val="19"/>
          <w:color w:val="auto"/>
          <w:vertAlign w:val="subscript"/>
        </w:rPr>
      </w:pPr>
      <w:r>
        <w:rPr>
          <w:rFonts w:ascii="Arial" w:cs="Arial" w:eastAsia="Arial" w:hAnsi="Arial"/>
          <w:sz w:val="10"/>
          <w:szCs w:val="10"/>
          <w:b w:val="1"/>
          <w:bCs w:val="1"/>
          <w:color w:val="auto"/>
        </w:rPr>
        <w:t xml:space="preserve">Adjusted EBITDA </w:t>
      </w:r>
      <w:r>
        <w:rPr>
          <w:rFonts w:ascii="Arial" w:cs="Arial" w:eastAsia="Arial" w:hAnsi="Arial"/>
          <w:sz w:val="10"/>
          <w:szCs w:val="10"/>
          <w:color w:val="auto"/>
        </w:rPr>
        <w:t>increased by 14%, which marked a new high for the Professional Services business and exceeded the high-end of our guidance</w:t>
      </w:r>
    </w:p>
    <w:p>
      <w:pPr>
        <w:spacing w:after="0" w:line="110" w:lineRule="exact"/>
        <w:rPr>
          <w:rFonts w:ascii="Arial" w:cs="Arial" w:eastAsia="Arial" w:hAnsi="Arial"/>
          <w:sz w:val="19"/>
          <w:szCs w:val="19"/>
          <w:color w:val="auto"/>
          <w:vertAlign w:val="subscript"/>
        </w:rPr>
      </w:pPr>
    </w:p>
    <w:p>
      <w:pPr>
        <w:ind w:left="507" w:hanging="215"/>
        <w:spacing w:after="0"/>
        <w:tabs>
          <w:tab w:leader="none" w:pos="507" w:val="left"/>
        </w:tabs>
        <w:numPr>
          <w:ilvl w:val="0"/>
          <w:numId w:val="31"/>
        </w:numPr>
        <w:rPr>
          <w:rFonts w:ascii="Arial" w:cs="Arial" w:eastAsia="Arial" w:hAnsi="Arial"/>
          <w:sz w:val="10"/>
          <w:szCs w:val="10"/>
          <w:color w:val="auto"/>
        </w:rPr>
      </w:pPr>
      <w:r>
        <w:rPr>
          <w:rFonts w:ascii="Arial" w:cs="Arial" w:eastAsia="Arial" w:hAnsi="Arial"/>
          <w:sz w:val="10"/>
          <w:szCs w:val="10"/>
          <w:b w:val="1"/>
          <w:bCs w:val="1"/>
          <w:color w:val="auto"/>
        </w:rPr>
        <w:t xml:space="preserve">Segment Adjusted Operating Margin </w:t>
      </w:r>
      <w:r>
        <w:rPr>
          <w:rFonts w:ascii="Arial" w:cs="Arial" w:eastAsia="Arial" w:hAnsi="Arial"/>
          <w:sz w:val="10"/>
          <w:szCs w:val="10"/>
          <w:color w:val="auto"/>
        </w:rPr>
        <w:t>increased by 160 basis points to 12.3% and exceeded our guidance by 60 basis points; our margins have increased by 360 basis points since fiscal 2018 and lead the industry</w:t>
      </w:r>
    </w:p>
    <w:p>
      <w:pPr>
        <w:spacing w:after="0" w:line="131" w:lineRule="exact"/>
        <w:rPr>
          <w:rFonts w:ascii="Arial" w:cs="Arial" w:eastAsia="Arial" w:hAnsi="Arial"/>
          <w:sz w:val="10"/>
          <w:szCs w:val="10"/>
          <w:color w:val="auto"/>
        </w:rPr>
      </w:pPr>
    </w:p>
    <w:p>
      <w:pPr>
        <w:ind w:left="507" w:hanging="215"/>
        <w:spacing w:after="0"/>
        <w:tabs>
          <w:tab w:leader="none" w:pos="507" w:val="left"/>
        </w:tabs>
        <w:numPr>
          <w:ilvl w:val="0"/>
          <w:numId w:val="31"/>
        </w:numPr>
        <w:rPr>
          <w:rFonts w:ascii="Arial" w:cs="Arial" w:eastAsia="Arial" w:hAnsi="Arial"/>
          <w:sz w:val="10"/>
          <w:szCs w:val="10"/>
          <w:color w:val="auto"/>
        </w:rPr>
      </w:pPr>
      <w:r>
        <w:rPr>
          <w:rFonts w:ascii="Arial" w:cs="Arial" w:eastAsia="Arial" w:hAnsi="Arial"/>
          <w:sz w:val="10"/>
          <w:szCs w:val="10"/>
          <w:b w:val="1"/>
          <w:bCs w:val="1"/>
          <w:color w:val="auto"/>
        </w:rPr>
        <w:t xml:space="preserve">Free Cash Flow </w:t>
      </w:r>
      <w:r>
        <w:rPr>
          <w:rFonts w:ascii="Arial" w:cs="Arial" w:eastAsia="Arial" w:hAnsi="Arial"/>
          <w:sz w:val="10"/>
          <w:szCs w:val="10"/>
          <w:color w:val="auto"/>
        </w:rPr>
        <w:t>of $619 million in the fourth quarter resulted in full year free cash flow of $341 million, which exceeded the high end of our guidance range</w:t>
      </w:r>
    </w:p>
    <w:p>
      <w:pPr>
        <w:spacing w:after="0" w:line="121" w:lineRule="exact"/>
        <w:rPr>
          <w:rFonts w:ascii="Arial" w:cs="Arial" w:eastAsia="Arial" w:hAnsi="Arial"/>
          <w:sz w:val="10"/>
          <w:szCs w:val="10"/>
          <w:color w:val="auto"/>
        </w:rPr>
      </w:pPr>
    </w:p>
    <w:p>
      <w:pPr>
        <w:ind w:left="507" w:right="300" w:hanging="215"/>
        <w:spacing w:after="0" w:line="184" w:lineRule="auto"/>
        <w:tabs>
          <w:tab w:leader="none" w:pos="507" w:val="left"/>
        </w:tabs>
        <w:numPr>
          <w:ilvl w:val="0"/>
          <w:numId w:val="31"/>
        </w:numPr>
        <w:rPr>
          <w:rFonts w:ascii="Arial" w:cs="Arial" w:eastAsia="Arial" w:hAnsi="Arial"/>
          <w:sz w:val="18"/>
          <w:szCs w:val="18"/>
          <w:color w:val="auto"/>
          <w:vertAlign w:val="subscript"/>
        </w:rPr>
      </w:pPr>
      <w:r>
        <w:rPr>
          <w:rFonts w:ascii="Arial" w:cs="Arial" w:eastAsia="Arial" w:hAnsi="Arial"/>
          <w:sz w:val="9"/>
          <w:szCs w:val="9"/>
          <w:b w:val="1"/>
          <w:bCs w:val="1"/>
          <w:color w:val="auto"/>
        </w:rPr>
        <w:t xml:space="preserve">Completed Several Strategic and Financial Initiatives </w:t>
      </w:r>
      <w:r>
        <w:rPr>
          <w:rFonts w:ascii="Arial" w:cs="Arial" w:eastAsia="Arial" w:hAnsi="Arial"/>
          <w:sz w:val="9"/>
          <w:szCs w:val="9"/>
          <w:color w:val="auto"/>
        </w:rPr>
        <w:t>as part of our transformation into a higher-margin and lower-risk Professional Services business, including the divestitures of the Management Services business in January 2020, the</w:t>
      </w:r>
      <w:r>
        <w:rPr>
          <w:rFonts w:ascii="Arial" w:cs="Arial" w:eastAsia="Arial" w:hAnsi="Arial"/>
          <w:sz w:val="9"/>
          <w:szCs w:val="9"/>
          <w:b w:val="1"/>
          <w:bCs w:val="1"/>
          <w:color w:val="auto"/>
        </w:rPr>
        <w:t xml:space="preserve"> </w:t>
      </w:r>
      <w:r>
        <w:rPr>
          <w:rFonts w:ascii="Arial" w:cs="Arial" w:eastAsia="Arial" w:hAnsi="Arial"/>
          <w:sz w:val="9"/>
          <w:szCs w:val="9"/>
          <w:color w:val="auto"/>
        </w:rPr>
        <w:t>Power Construction business in October 2020, and the Civil Construction business in January 2021</w:t>
      </w:r>
    </w:p>
    <w:p>
      <w:pPr>
        <w:spacing w:after="0" w:line="80" w:lineRule="exact"/>
        <w:rPr>
          <w:rFonts w:ascii="Arial" w:cs="Arial" w:eastAsia="Arial" w:hAnsi="Arial"/>
          <w:sz w:val="18"/>
          <w:szCs w:val="18"/>
          <w:color w:val="auto"/>
          <w:vertAlign w:val="subscript"/>
        </w:rPr>
      </w:pPr>
    </w:p>
    <w:p>
      <w:pPr>
        <w:ind w:left="507" w:right="5800" w:hanging="215"/>
        <w:spacing w:after="0" w:line="249" w:lineRule="auto"/>
        <w:tabs>
          <w:tab w:leader="none" w:pos="507" w:val="left"/>
        </w:tabs>
        <w:numPr>
          <w:ilvl w:val="0"/>
          <w:numId w:val="31"/>
        </w:numPr>
        <w:rPr>
          <w:rFonts w:ascii="Arial" w:cs="Arial" w:eastAsia="Arial" w:hAnsi="Arial"/>
          <w:sz w:val="10"/>
          <w:szCs w:val="10"/>
          <w:color w:val="auto"/>
        </w:rPr>
      </w:pPr>
      <w:r>
        <w:rPr>
          <w:rFonts w:ascii="Arial" w:cs="Arial" w:eastAsia="Arial" w:hAnsi="Arial"/>
          <w:sz w:val="10"/>
          <w:szCs w:val="10"/>
          <w:b w:val="1"/>
          <w:bCs w:val="1"/>
          <w:color w:val="auto"/>
        </w:rPr>
        <w:t xml:space="preserve">Transformed Balance Sheet </w:t>
      </w:r>
      <w:r>
        <w:rPr>
          <w:rFonts w:ascii="Arial" w:cs="Arial" w:eastAsia="Arial" w:hAnsi="Arial"/>
          <w:sz w:val="10"/>
          <w:szCs w:val="10"/>
          <w:color w:val="auto"/>
        </w:rPr>
        <w:t>enabled more than $600 million of stock repurchases between September 2020 and</w:t>
      </w:r>
      <w:r>
        <w:rPr>
          <w:rFonts w:ascii="Arial" w:cs="Arial" w:eastAsia="Arial" w:hAnsi="Arial"/>
          <w:sz w:val="10"/>
          <w:szCs w:val="10"/>
          <w:b w:val="1"/>
          <w:bCs w:val="1"/>
          <w:color w:val="auto"/>
        </w:rPr>
        <w:t xml:space="preserve"> </w:t>
      </w:r>
      <w:r>
        <w:rPr>
          <w:rFonts w:ascii="Arial" w:cs="Arial" w:eastAsia="Arial" w:hAnsi="Arial"/>
          <w:sz w:val="10"/>
          <w:szCs w:val="10"/>
          <w:color w:val="auto"/>
        </w:rPr>
        <w:t>January 2021, while maintaining a gross leverage ratio below 3.0x, consistent with our objectives.</w:t>
      </w:r>
    </w:p>
    <w:p>
      <w:pPr>
        <w:spacing w:after="0" w:line="107" w:lineRule="exact"/>
        <w:rPr>
          <w:rFonts w:ascii="Arial" w:cs="Arial" w:eastAsia="Arial" w:hAnsi="Arial"/>
          <w:sz w:val="10"/>
          <w:szCs w:val="10"/>
          <w:color w:val="auto"/>
        </w:rPr>
      </w:pPr>
    </w:p>
    <w:p>
      <w:pPr>
        <w:ind w:left="507" w:right="5800" w:hanging="215"/>
        <w:spacing w:after="0" w:line="184" w:lineRule="auto"/>
        <w:tabs>
          <w:tab w:leader="none" w:pos="507" w:val="left"/>
        </w:tabs>
        <w:numPr>
          <w:ilvl w:val="0"/>
          <w:numId w:val="31"/>
        </w:numPr>
        <w:rPr>
          <w:rFonts w:ascii="Arial" w:cs="Arial" w:eastAsia="Arial" w:hAnsi="Arial"/>
          <w:sz w:val="18"/>
          <w:szCs w:val="18"/>
          <w:color w:val="auto"/>
          <w:vertAlign w:val="subscript"/>
        </w:rPr>
      </w:pPr>
      <w:r>
        <w:rPr>
          <w:rFonts w:ascii="Arial" w:cs="Arial" w:eastAsia="Arial" w:hAnsi="Arial"/>
          <w:sz w:val="9"/>
          <w:szCs w:val="9"/>
          <w:b w:val="1"/>
          <w:bCs w:val="1"/>
          <w:color w:val="auto"/>
        </w:rPr>
        <w:t xml:space="preserve">Achieved a TSR </w:t>
      </w:r>
      <w:r>
        <w:rPr>
          <w:rFonts w:ascii="Arial" w:cs="Arial" w:eastAsia="Arial" w:hAnsi="Arial"/>
          <w:sz w:val="9"/>
          <w:szCs w:val="9"/>
          <w:color w:val="auto"/>
        </w:rPr>
        <w:t>of 18.1% in Fiscal Year 2020, outperforming the S&amp;P 500 and Russell 3000 indices in addition to</w:t>
      </w:r>
      <w:r>
        <w:rPr>
          <w:rFonts w:ascii="Arial" w:cs="Arial" w:eastAsia="Arial" w:hAnsi="Arial"/>
          <w:sz w:val="9"/>
          <w:szCs w:val="9"/>
          <w:b w:val="1"/>
          <w:bCs w:val="1"/>
          <w:color w:val="auto"/>
        </w:rPr>
        <w:t xml:space="preserve"> </w:t>
      </w:r>
      <w:r>
        <w:rPr>
          <w:rFonts w:ascii="Arial" w:cs="Arial" w:eastAsia="Arial" w:hAnsi="Arial"/>
          <w:sz w:val="9"/>
          <w:szCs w:val="9"/>
          <w:color w:val="auto"/>
        </w:rPr>
        <w:t>our industry peers(1), due to the above achievements and strong execution through a period of great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7" w:hanging="367"/>
        <w:spacing w:after="0"/>
        <w:tabs>
          <w:tab w:leader="none" w:pos="367" w:val="left"/>
        </w:tabs>
        <w:numPr>
          <w:ilvl w:val="0"/>
          <w:numId w:val="32"/>
        </w:numPr>
        <w:rPr>
          <w:rFonts w:ascii="Arial" w:cs="Arial" w:eastAsia="Arial" w:hAnsi="Arial"/>
          <w:sz w:val="10"/>
          <w:szCs w:val="10"/>
          <w:color w:val="auto"/>
        </w:rPr>
      </w:pPr>
      <w:r>
        <w:rPr>
          <w:rFonts w:ascii="Arial" w:cs="Arial" w:eastAsia="Arial" w:hAnsi="Arial"/>
          <w:sz w:val="10"/>
          <w:szCs w:val="10"/>
          <w:color w:val="auto"/>
        </w:rPr>
        <w:t>Industry peer performance reflects the average of Jacobs Engineering Group, Tetra Tech, WSP Global, Stantec, and Arcadis</w:t>
      </w:r>
    </w:p>
    <w:p>
      <w:pPr>
        <w:spacing w:after="0" w:line="134" w:lineRule="exact"/>
        <w:rPr>
          <w:sz w:val="20"/>
          <w:szCs w:val="20"/>
          <w:color w:val="auto"/>
        </w:rPr>
      </w:pPr>
    </w:p>
    <w:p>
      <w:pPr>
        <w:ind w:left="287" w:hanging="287"/>
        <w:spacing w:after="0"/>
        <w:tabs>
          <w:tab w:leader="none" w:pos="287" w:val="left"/>
        </w:tabs>
        <w:numPr>
          <w:ilvl w:val="0"/>
          <w:numId w:val="33"/>
        </w:numPr>
        <w:rPr>
          <w:rFonts w:ascii="MS PGothic" w:cs="MS PGothic" w:eastAsia="MS PGothic" w:hAnsi="MS PGothic"/>
          <w:sz w:val="15"/>
          <w:szCs w:val="15"/>
          <w:color w:val="auto"/>
        </w:rPr>
      </w:pPr>
      <w:r>
        <w:rPr>
          <w:rFonts w:ascii="Arial" w:cs="Arial" w:eastAsia="Arial" w:hAnsi="Arial"/>
          <w:sz w:val="15"/>
          <w:szCs w:val="15"/>
          <w:b w:val="1"/>
          <w:bCs w:val="1"/>
          <w:color w:val="00B2E5"/>
        </w:rPr>
        <w:t>Fiscal Year 2020 Shareholder Outreach and Responsiveness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-74295</wp:posOffset>
            </wp:positionV>
            <wp:extent cx="52070" cy="533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070" cy="53340"/>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102870</wp:posOffset>
            </wp:positionV>
            <wp:extent cx="3576955" cy="7175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576955" cy="71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7"/>
        <w:spacing w:after="0"/>
        <w:rPr>
          <w:sz w:val="20"/>
          <w:szCs w:val="20"/>
          <w:color w:val="auto"/>
        </w:rPr>
      </w:pPr>
      <w:r>
        <w:rPr>
          <w:rFonts w:ascii="Arial" w:cs="Arial" w:eastAsia="Arial" w:hAnsi="Arial"/>
          <w:sz w:val="15"/>
          <w:szCs w:val="15"/>
          <w:b w:val="1"/>
          <w:bCs w:val="1"/>
          <w:color w:val="FFFFFE"/>
        </w:rPr>
        <w:t>Fiscal Year 2021 Incentive Plan Design Enhancements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176770" cy="5905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770" cy="590550"/>
                    </a:xfrm>
                    <a:prstGeom prst="rect">
                      <a:avLst/>
                    </a:prstGeom>
                    <a:noFill/>
                  </pic:spPr>
                </pic:pic>
              </a:graphicData>
            </a:graphic>
          </wp:anchor>
        </w:drawing>
      </w:r>
    </w:p>
    <w:p>
      <w:pPr>
        <w:spacing w:after="0" w:line="151" w:lineRule="exact"/>
        <w:rPr>
          <w:sz w:val="20"/>
          <w:szCs w:val="20"/>
          <w:color w:val="auto"/>
        </w:rPr>
      </w:pPr>
    </w:p>
    <w:p>
      <w:pPr>
        <w:ind w:left="227"/>
        <w:spacing w:after="0"/>
        <w:rPr>
          <w:sz w:val="20"/>
          <w:szCs w:val="20"/>
          <w:color w:val="auto"/>
        </w:rPr>
      </w:pPr>
      <w:r>
        <w:rPr>
          <w:rFonts w:ascii="Arial" w:cs="Arial" w:eastAsia="Arial" w:hAnsi="Arial"/>
          <w:sz w:val="10"/>
          <w:szCs w:val="10"/>
          <w:b w:val="1"/>
          <w:bCs w:val="1"/>
          <w:color w:val="auto"/>
        </w:rPr>
        <w:t xml:space="preserve">Short-Term Incentives: </w:t>
      </w:r>
      <w:r>
        <w:rPr>
          <w:rFonts w:ascii="Arial" w:cs="Arial" w:eastAsia="Arial" w:hAnsi="Arial"/>
          <w:sz w:val="10"/>
          <w:szCs w:val="10"/>
          <w:color w:val="auto"/>
        </w:rPr>
        <w:t>Added Operating Cash Flow as a financial metric; added ESG goals to individual key performance indicators ("KPIs")</w:t>
      </w:r>
    </w:p>
    <w:p>
      <w:pPr>
        <w:spacing w:after="0" w:line="95" w:lineRule="exact"/>
        <w:rPr>
          <w:sz w:val="20"/>
          <w:szCs w:val="20"/>
          <w:color w:val="auto"/>
        </w:rPr>
      </w:pPr>
    </w:p>
    <w:p>
      <w:pPr>
        <w:ind w:left="227"/>
        <w:spacing w:after="0"/>
        <w:rPr>
          <w:sz w:val="20"/>
          <w:szCs w:val="20"/>
          <w:color w:val="auto"/>
        </w:rPr>
      </w:pPr>
      <w:r>
        <w:rPr>
          <w:rFonts w:ascii="Arial" w:cs="Arial" w:eastAsia="Arial" w:hAnsi="Arial"/>
          <w:sz w:val="10"/>
          <w:szCs w:val="10"/>
          <w:b w:val="1"/>
          <w:bCs w:val="1"/>
          <w:color w:val="auto"/>
        </w:rPr>
        <w:t xml:space="preserve">Long-Term Incentives: </w:t>
      </w:r>
      <w:r>
        <w:rPr>
          <w:rFonts w:ascii="Arial" w:cs="Arial" w:eastAsia="Arial" w:hAnsi="Arial"/>
          <w:sz w:val="10"/>
          <w:szCs w:val="10"/>
          <w:color w:val="auto"/>
        </w:rPr>
        <w:t>Added Relative TSR and Adjusted EPS Growth as metrics; removed Free Cash Flow</w:t>
      </w:r>
    </w:p>
    <w:p>
      <w:pPr>
        <w:spacing w:after="0" w:line="139" w:lineRule="exact"/>
        <w:rPr>
          <w:sz w:val="20"/>
          <w:szCs w:val="20"/>
          <w:color w:val="auto"/>
        </w:rPr>
      </w:pPr>
    </w:p>
    <w:p>
      <w:pPr>
        <w:ind w:left="227"/>
        <w:spacing w:after="0"/>
        <w:rPr>
          <w:sz w:val="20"/>
          <w:szCs w:val="20"/>
          <w:color w:val="auto"/>
        </w:rPr>
      </w:pPr>
      <w:r>
        <w:rPr>
          <w:rFonts w:ascii="Arial" w:cs="Arial" w:eastAsia="Arial" w:hAnsi="Arial"/>
          <w:sz w:val="10"/>
          <w:szCs w:val="10"/>
          <w:b w:val="1"/>
          <w:bCs w:val="1"/>
          <w:color w:val="auto"/>
        </w:rPr>
        <w:t xml:space="preserve">Rigor of Goals: </w:t>
      </w:r>
      <w:r>
        <w:rPr>
          <w:rFonts w:ascii="Arial" w:cs="Arial" w:eastAsia="Arial" w:hAnsi="Arial"/>
          <w:sz w:val="10"/>
          <w:szCs w:val="10"/>
          <w:color w:val="auto"/>
        </w:rPr>
        <w:t>All financial targets materially align with external guidance to investors; Adjusted EPS Growth excludes impact of repurchases; Relative TSR targets 55</w:t>
      </w:r>
      <w:r>
        <w:rPr>
          <w:rFonts w:ascii="Arial" w:cs="Arial" w:eastAsia="Arial" w:hAnsi="Arial"/>
          <w:sz w:val="14"/>
          <w:szCs w:val="14"/>
          <w:color w:val="auto"/>
          <w:vertAlign w:val="superscript"/>
        </w:rPr>
        <w:t>th</w:t>
      </w:r>
      <w:r>
        <w:rPr>
          <w:rFonts w:ascii="Arial" w:cs="Arial" w:eastAsia="Arial" w:hAnsi="Arial"/>
          <w:sz w:val="10"/>
          <w:szCs w:val="10"/>
          <w:b w:val="1"/>
          <w:bCs w:val="1"/>
          <w:color w:val="auto"/>
        </w:rPr>
        <w:t xml:space="preserve"> </w:t>
      </w:r>
      <w:r>
        <w:rPr>
          <w:rFonts w:ascii="Arial" w:cs="Arial" w:eastAsia="Arial" w:hAnsi="Arial"/>
          <w:sz w:val="10"/>
          <w:szCs w:val="10"/>
          <w:color w:val="auto"/>
        </w:rPr>
        <w:t>percentile performance</w:t>
      </w:r>
    </w:p>
    <w:p>
      <w:pPr>
        <w:spacing w:after="0" w:line="12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83755" cy="18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28" w:right="319" w:bottom="1440" w:gutter="0" w:footer="0" w:header="0"/>
          <w:type w:val="continuous"/>
        </w:sectPr>
      </w:pPr>
    </w:p>
    <w:bookmarkStart w:id="66" w:name="page67"/>
    <w:bookmarkEnd w:id="66"/>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Stockholder Engagement and Executive Compensation Design Changes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Throughout the year, we have active and on-going dialogues with stockholders which are summarized as follows for Fiscal Year 2020: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80" w:type="dxa"/>
            <w:vAlign w:val="bottom"/>
            <w:shd w:val="clear" w:color="auto" w:fill="00B2E5"/>
          </w:tcPr>
          <w:p>
            <w:pPr>
              <w:spacing w:after="0"/>
              <w:rPr>
                <w:sz w:val="20"/>
                <w:szCs w:val="20"/>
                <w:color w:val="auto"/>
              </w:rPr>
            </w:pPr>
            <w:r>
              <w:rPr>
                <w:rFonts w:ascii="Arial" w:cs="Arial" w:eastAsia="Arial" w:hAnsi="Arial"/>
                <w:sz w:val="12"/>
                <w:szCs w:val="12"/>
                <w:b w:val="1"/>
                <w:bCs w:val="1"/>
                <w:color w:val="FFFFFE"/>
              </w:rPr>
              <w:t>What We Heard</w:t>
            </w:r>
          </w:p>
        </w:tc>
        <w:tc>
          <w:tcPr>
            <w:tcW w:w="10120" w:type="dxa"/>
            <w:vAlign w:val="bottom"/>
            <w:shd w:val="clear" w:color="auto" w:fill="00B2E5"/>
          </w:tcPr>
          <w:p>
            <w:pPr>
              <w:ind w:left="120"/>
              <w:spacing w:after="0"/>
              <w:rPr>
                <w:sz w:val="20"/>
                <w:szCs w:val="20"/>
                <w:color w:val="auto"/>
              </w:rPr>
            </w:pPr>
            <w:r>
              <w:rPr>
                <w:rFonts w:ascii="Arial" w:cs="Arial" w:eastAsia="Arial" w:hAnsi="Arial"/>
                <w:sz w:val="12"/>
                <w:szCs w:val="12"/>
                <w:b w:val="1"/>
                <w:bCs w:val="1"/>
                <w:color w:val="FFFFFE"/>
              </w:rPr>
              <w:t>What We Did and Why</w:t>
            </w:r>
          </w:p>
        </w:tc>
      </w:tr>
      <w:tr>
        <w:trPr>
          <w:trHeight w:val="246"/>
        </w:trPr>
        <w:tc>
          <w:tcPr>
            <w:tcW w:w="1180" w:type="dxa"/>
            <w:vAlign w:val="bottom"/>
          </w:tcPr>
          <w:p>
            <w:pPr>
              <w:spacing w:after="0"/>
              <w:rPr>
                <w:sz w:val="20"/>
                <w:szCs w:val="20"/>
                <w:color w:val="auto"/>
              </w:rPr>
            </w:pPr>
            <w:r>
              <w:rPr>
                <w:rFonts w:ascii="Arial" w:cs="Arial" w:eastAsia="Arial" w:hAnsi="Arial"/>
                <w:sz w:val="10"/>
                <w:szCs w:val="10"/>
                <w:b w:val="1"/>
                <w:bCs w:val="1"/>
                <w:color w:val="auto"/>
              </w:rPr>
              <w:t>Engage with</w:t>
            </w:r>
          </w:p>
        </w:tc>
        <w:tc>
          <w:tcPr>
            <w:tcW w:w="10120" w:type="dxa"/>
            <w:vAlign w:val="bottom"/>
          </w:tcPr>
          <w:p>
            <w:pPr>
              <w:ind w:left="120"/>
              <w:spacing w:after="0" w:line="127" w:lineRule="exact"/>
              <w:rPr>
                <w:sz w:val="20"/>
                <w:szCs w:val="20"/>
                <w:color w:val="auto"/>
              </w:rPr>
            </w:pPr>
            <w:r>
              <w:rPr>
                <w:rFonts w:ascii="MS PGothic" w:cs="MS PGothic" w:eastAsia="MS PGothic" w:hAnsi="MS PGothic"/>
                <w:sz w:val="11"/>
                <w:szCs w:val="11"/>
                <w:color w:val="00B2E5"/>
              </w:rPr>
              <w:t>✓</w:t>
            </w:r>
            <w:r>
              <w:rPr>
                <w:rFonts w:ascii="Arial" w:cs="Arial" w:eastAsia="Arial" w:hAnsi="Arial"/>
                <w:sz w:val="10"/>
                <w:szCs w:val="10"/>
                <w:color w:val="auto"/>
              </w:rPr>
              <w:t xml:space="preserve"> The Compensation Committee directors engaged with stockholders who collectively own greater than 50% of our total outstanding shares</w:t>
            </w:r>
          </w:p>
        </w:tc>
      </w:tr>
      <w:tr>
        <w:trPr>
          <w:trHeight w:val="109"/>
        </w:trPr>
        <w:tc>
          <w:tcPr>
            <w:tcW w:w="1180" w:type="dxa"/>
            <w:vAlign w:val="bottom"/>
            <w:tcBorders>
              <w:bottom w:val="single" w:sz="8" w:color="00B2E5"/>
            </w:tcBorders>
          </w:tcPr>
          <w:p>
            <w:pPr>
              <w:spacing w:after="0" w:line="110" w:lineRule="exact"/>
              <w:rPr>
                <w:sz w:val="20"/>
                <w:szCs w:val="20"/>
                <w:color w:val="auto"/>
              </w:rPr>
            </w:pPr>
            <w:r>
              <w:rPr>
                <w:rFonts w:ascii="Arial" w:cs="Arial" w:eastAsia="Arial" w:hAnsi="Arial"/>
                <w:sz w:val="10"/>
                <w:szCs w:val="10"/>
                <w:b w:val="1"/>
                <w:bCs w:val="1"/>
                <w:color w:val="auto"/>
              </w:rPr>
              <w:t>stockholders</w:t>
            </w:r>
          </w:p>
        </w:tc>
        <w:tc>
          <w:tcPr>
            <w:tcW w:w="10120" w:type="dxa"/>
            <w:vAlign w:val="bottom"/>
            <w:tcBorders>
              <w:bottom w:val="single" w:sz="8" w:color="00B2E5"/>
            </w:tcBorders>
          </w:tcPr>
          <w:p>
            <w:pPr>
              <w:spacing w:after="0"/>
              <w:rPr>
                <w:sz w:val="9"/>
                <w:szCs w:val="9"/>
                <w:color w:val="auto"/>
              </w:rPr>
            </w:pPr>
          </w:p>
        </w:tc>
      </w:tr>
      <w:tr>
        <w:trPr>
          <w:trHeight w:val="226"/>
        </w:trPr>
        <w:tc>
          <w:tcPr>
            <w:tcW w:w="1180" w:type="dxa"/>
            <w:vAlign w:val="bottom"/>
          </w:tcPr>
          <w:p>
            <w:pPr>
              <w:spacing w:after="0"/>
              <w:rPr>
                <w:sz w:val="20"/>
                <w:szCs w:val="20"/>
                <w:color w:val="auto"/>
              </w:rPr>
            </w:pPr>
            <w:r>
              <w:rPr>
                <w:rFonts w:ascii="Arial" w:cs="Arial" w:eastAsia="Arial" w:hAnsi="Arial"/>
                <w:sz w:val="10"/>
                <w:szCs w:val="10"/>
                <w:b w:val="1"/>
                <w:bCs w:val="1"/>
                <w:color w:val="auto"/>
              </w:rPr>
              <w:t>CEO Quantum of Pay is</w:t>
            </w:r>
          </w:p>
        </w:tc>
        <w:tc>
          <w:tcPr>
            <w:tcW w:w="10120" w:type="dxa"/>
            <w:vAlign w:val="bottom"/>
          </w:tcPr>
          <w:p>
            <w:pPr>
              <w:ind w:left="120"/>
              <w:spacing w:after="0" w:line="127" w:lineRule="exact"/>
              <w:rPr>
                <w:sz w:val="20"/>
                <w:szCs w:val="20"/>
                <w:color w:val="auto"/>
              </w:rPr>
            </w:pPr>
            <w:r>
              <w:rPr>
                <w:rFonts w:ascii="MS PGothic" w:cs="MS PGothic" w:eastAsia="MS PGothic" w:hAnsi="MS PGothic"/>
                <w:sz w:val="11"/>
                <w:szCs w:val="11"/>
                <w:color w:val="00B2E5"/>
                <w:w w:val="98"/>
              </w:rPr>
              <w:t>✓</w:t>
            </w:r>
            <w:r>
              <w:rPr>
                <w:rFonts w:ascii="Arial" w:cs="Arial" w:eastAsia="Arial" w:hAnsi="Arial"/>
                <w:sz w:val="10"/>
                <w:szCs w:val="10"/>
                <w:color w:val="auto"/>
                <w:w w:val="98"/>
              </w:rPr>
              <w:t xml:space="preserve"> The CEO total target pay is less than 50% of his predecessor's. The decision reflected a comprehensive review of the underlying business transformation, the peer group of companies to assess competitive market data, and the</w:t>
            </w:r>
          </w:p>
        </w:tc>
      </w:tr>
      <w:tr>
        <w:trPr>
          <w:trHeight w:val="128"/>
        </w:trPr>
        <w:tc>
          <w:tcPr>
            <w:tcW w:w="1180" w:type="dxa"/>
            <w:vAlign w:val="bottom"/>
            <w:tcBorders>
              <w:bottom w:val="single" w:sz="8" w:color="00B2E5"/>
            </w:tcBorders>
          </w:tcPr>
          <w:p>
            <w:pPr>
              <w:spacing w:after="0"/>
              <w:rPr>
                <w:sz w:val="20"/>
                <w:szCs w:val="20"/>
                <w:color w:val="auto"/>
              </w:rPr>
            </w:pPr>
            <w:r>
              <w:rPr>
                <w:rFonts w:ascii="Arial" w:cs="Arial" w:eastAsia="Arial" w:hAnsi="Arial"/>
                <w:sz w:val="10"/>
                <w:szCs w:val="10"/>
                <w:b w:val="1"/>
                <w:bCs w:val="1"/>
                <w:color w:val="auto"/>
              </w:rPr>
              <w:t>high</w:t>
            </w:r>
          </w:p>
        </w:tc>
        <w:tc>
          <w:tcPr>
            <w:tcW w:w="10120" w:type="dxa"/>
            <w:vAlign w:val="bottom"/>
            <w:tcBorders>
              <w:bottom w:val="single" w:sz="8" w:color="00B2E5"/>
            </w:tcBorders>
          </w:tcPr>
          <w:p>
            <w:pPr>
              <w:ind w:left="260"/>
              <w:spacing w:after="0"/>
              <w:rPr>
                <w:sz w:val="20"/>
                <w:szCs w:val="20"/>
                <w:color w:val="auto"/>
              </w:rPr>
            </w:pPr>
            <w:r>
              <w:rPr>
                <w:rFonts w:ascii="Arial" w:cs="Arial" w:eastAsia="Arial" w:hAnsi="Arial"/>
                <w:sz w:val="10"/>
                <w:szCs w:val="10"/>
                <w:color w:val="auto"/>
              </w:rPr>
              <w:t>opportunity to recognize and reward future growth and success in the role.</w:t>
            </w:r>
          </w:p>
        </w:tc>
      </w:tr>
    </w:tbl>
    <w:p>
      <w:pPr>
        <w:spacing w:after="0" w:line="101" w:lineRule="exact"/>
        <w:rPr>
          <w:sz w:val="20"/>
          <w:szCs w:val="20"/>
          <w:color w:val="auto"/>
        </w:rPr>
      </w:pPr>
    </w:p>
    <w:p>
      <w:pPr>
        <w:sectPr>
          <w:pgSz w:w="11900" w:h="16838" w:orient="portrait"/>
          <w:cols w:equalWidth="0" w:num="1">
            <w:col w:w="11300"/>
          </w:cols>
          <w:pgMar w:left="300" w:top="128" w:right="299" w:bottom="1440" w:gutter="0" w:footer="0" w:header="0"/>
        </w:sectPr>
      </w:pPr>
    </w:p>
    <w:p>
      <w:pPr>
        <w:jc w:val="both"/>
        <w:spacing w:after="0" w:line="291" w:lineRule="auto"/>
        <w:rPr>
          <w:sz w:val="20"/>
          <w:szCs w:val="20"/>
          <w:color w:val="auto"/>
        </w:rPr>
      </w:pPr>
      <w:r>
        <w:rPr>
          <w:rFonts w:ascii="Arial" w:cs="Arial" w:eastAsia="Arial" w:hAnsi="Arial"/>
          <w:sz w:val="9"/>
          <w:szCs w:val="9"/>
          <w:b w:val="1"/>
          <w:bCs w:val="1"/>
          <w:color w:val="auto"/>
        </w:rPr>
        <w:t>Incentives should support long-term strategy</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44" w:hanging="144"/>
        <w:spacing w:after="0"/>
        <w:tabs>
          <w:tab w:leader="none" w:pos="144" w:val="left"/>
        </w:tabs>
        <w:numPr>
          <w:ilvl w:val="0"/>
          <w:numId w:val="34"/>
        </w:numPr>
        <w:rPr>
          <w:rFonts w:ascii="MS PGothic" w:cs="MS PGothic" w:eastAsia="MS PGothic" w:hAnsi="MS PGothic"/>
          <w:sz w:val="12"/>
          <w:szCs w:val="12"/>
          <w:color w:val="00B2E5"/>
        </w:rPr>
      </w:pPr>
      <w:r>
        <w:rPr>
          <w:rFonts w:ascii="Arial" w:cs="Arial" w:eastAsia="Arial" w:hAnsi="Arial"/>
          <w:sz w:val="10"/>
          <w:szCs w:val="10"/>
          <w:color w:val="auto"/>
        </w:rPr>
        <w:t>To support long-term profitable growth and the Company's capital allocation priorities, the Compensation Committee added Operating Cash Flow to the short-term incentive program in Fiscal Year 2021.</w:t>
      </w:r>
    </w:p>
    <w:p>
      <w:pPr>
        <w:spacing w:after="0" w:line="130" w:lineRule="exact"/>
        <w:rPr>
          <w:rFonts w:ascii="MS PGothic" w:cs="MS PGothic" w:eastAsia="MS PGothic" w:hAnsi="MS PGothic"/>
          <w:sz w:val="12"/>
          <w:szCs w:val="12"/>
          <w:color w:val="00B2E5"/>
        </w:rPr>
      </w:pPr>
    </w:p>
    <w:p>
      <w:pPr>
        <w:ind w:left="144" w:hanging="144"/>
        <w:spacing w:after="0" w:line="239" w:lineRule="auto"/>
        <w:tabs>
          <w:tab w:leader="none" w:pos="144" w:val="left"/>
        </w:tabs>
        <w:numPr>
          <w:ilvl w:val="0"/>
          <w:numId w:val="34"/>
        </w:numPr>
        <w:rPr>
          <w:rFonts w:ascii="MS PGothic" w:cs="MS PGothic" w:eastAsia="MS PGothic" w:hAnsi="MS PGothic"/>
          <w:sz w:val="12"/>
          <w:szCs w:val="12"/>
          <w:color w:val="00B2E5"/>
        </w:rPr>
      </w:pPr>
      <w:r>
        <w:rPr>
          <w:rFonts w:ascii="Arial" w:cs="Arial" w:eastAsia="Arial" w:hAnsi="Arial"/>
          <w:sz w:val="10"/>
          <w:szCs w:val="10"/>
          <w:color w:val="auto"/>
        </w:rPr>
        <w:t>To focus NEOs on growing earnings to drive shareholder value, the Compensation Committee added Adjusted Earnings per Share Growth to the long-term incentive program in Fiscal Year 2021 and elected to exclude the impact of share repurchases when calculating "per Share." Earnings per Share is preferable over Net Income as it has the added benefit of factoring how executive decisions can dilute shareholder interests.</w:t>
      </w:r>
    </w:p>
    <w:p>
      <w:pPr>
        <w:spacing w:after="0" w:line="126" w:lineRule="exact"/>
        <w:rPr>
          <w:rFonts w:ascii="MS PGothic" w:cs="MS PGothic" w:eastAsia="MS PGothic" w:hAnsi="MS PGothic"/>
          <w:sz w:val="12"/>
          <w:szCs w:val="12"/>
          <w:color w:val="00B2E5"/>
        </w:rPr>
      </w:pPr>
    </w:p>
    <w:p>
      <w:pPr>
        <w:ind w:left="144" w:right="20" w:hanging="144"/>
        <w:spacing w:after="0" w:line="239" w:lineRule="auto"/>
        <w:tabs>
          <w:tab w:leader="none" w:pos="144" w:val="left"/>
        </w:tabs>
        <w:numPr>
          <w:ilvl w:val="0"/>
          <w:numId w:val="34"/>
        </w:numPr>
        <w:rPr>
          <w:rFonts w:ascii="MS PGothic" w:cs="MS PGothic" w:eastAsia="MS PGothic" w:hAnsi="MS PGothic"/>
          <w:sz w:val="12"/>
          <w:szCs w:val="12"/>
          <w:color w:val="00B2E5"/>
        </w:rPr>
      </w:pPr>
      <w:r>
        <w:rPr>
          <w:rFonts w:ascii="Arial" w:cs="Arial" w:eastAsia="Arial" w:hAnsi="Arial"/>
          <w:sz w:val="10"/>
          <w:szCs w:val="10"/>
          <w:color w:val="auto"/>
        </w:rPr>
        <w:t>To further align our NEO's financial interests with that of our shareholders and reward for the TSR outperformance expected if NEOs execute the Company's financial plan and capital allocation policy, the Compensation Committee added relative TSR to the long-term incentive program in Fiscal Year 2021.</w:t>
      </w:r>
    </w:p>
    <w:p>
      <w:pPr>
        <w:spacing w:after="0" w:line="126" w:lineRule="exact"/>
        <w:rPr>
          <w:rFonts w:ascii="MS PGothic" w:cs="MS PGothic" w:eastAsia="MS PGothic" w:hAnsi="MS PGothic"/>
          <w:sz w:val="12"/>
          <w:szCs w:val="12"/>
          <w:color w:val="00B2E5"/>
        </w:rPr>
      </w:pPr>
    </w:p>
    <w:p>
      <w:pPr>
        <w:ind w:left="144" w:hanging="144"/>
        <w:spacing w:after="0" w:line="239" w:lineRule="auto"/>
        <w:tabs>
          <w:tab w:leader="none" w:pos="144" w:val="left"/>
        </w:tabs>
        <w:numPr>
          <w:ilvl w:val="0"/>
          <w:numId w:val="34"/>
        </w:numPr>
        <w:rPr>
          <w:rFonts w:ascii="MS PGothic" w:cs="MS PGothic" w:eastAsia="MS PGothic" w:hAnsi="MS PGothic"/>
          <w:sz w:val="12"/>
          <w:szCs w:val="12"/>
          <w:color w:val="00B2E5"/>
        </w:rPr>
      </w:pPr>
      <w:r>
        <w:rPr>
          <w:rFonts w:ascii="Arial" w:cs="Arial" w:eastAsia="Arial" w:hAnsi="Arial"/>
          <w:sz w:val="10"/>
          <w:szCs w:val="10"/>
          <w:color w:val="auto"/>
        </w:rPr>
        <w:t>Ultimately, short-term incentives focus on key metrics that hold management responsible for performance that drive shareholder value and for commitments made to investors. Long-term incentives focus on key metrics that align pay with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-6350</wp:posOffset>
            </wp:positionV>
            <wp:extent cx="7176770" cy="114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820" w:space="476"/>
            <w:col w:w="10004"/>
          </w:cols>
          <w:pgMar w:left="300" w:top="128" w:right="29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1240" w:type="dxa"/>
            <w:vAlign w:val="bottom"/>
          </w:tcPr>
          <w:p>
            <w:pPr>
              <w:spacing w:after="0"/>
              <w:rPr>
                <w:sz w:val="20"/>
                <w:szCs w:val="20"/>
                <w:color w:val="auto"/>
              </w:rPr>
            </w:pPr>
            <w:r>
              <w:rPr>
                <w:rFonts w:ascii="Arial" w:cs="Arial" w:eastAsia="Arial" w:hAnsi="Arial"/>
                <w:sz w:val="10"/>
                <w:szCs w:val="10"/>
                <w:b w:val="1"/>
                <w:bCs w:val="1"/>
                <w:color w:val="auto"/>
              </w:rPr>
              <w:t>Goals should be rigorous</w:t>
            </w:r>
          </w:p>
        </w:tc>
        <w:tc>
          <w:tcPr>
            <w:tcW w:w="10060" w:type="dxa"/>
            <w:vAlign w:val="bottom"/>
          </w:tcPr>
          <w:p>
            <w:pPr>
              <w:ind w:left="60"/>
              <w:spacing w:after="0" w:line="127" w:lineRule="exact"/>
              <w:rPr>
                <w:sz w:val="20"/>
                <w:szCs w:val="20"/>
                <w:color w:val="auto"/>
              </w:rPr>
            </w:pPr>
            <w:r>
              <w:rPr>
                <w:rFonts w:ascii="MS PGothic" w:cs="MS PGothic" w:eastAsia="MS PGothic" w:hAnsi="MS PGothic"/>
                <w:sz w:val="11"/>
                <w:szCs w:val="11"/>
                <w:color w:val="00B2E5"/>
              </w:rPr>
              <w:t>✓</w:t>
            </w:r>
            <w:r>
              <w:rPr>
                <w:rFonts w:ascii="Arial" w:cs="Arial" w:eastAsia="Arial" w:hAnsi="Arial"/>
                <w:sz w:val="10"/>
                <w:szCs w:val="10"/>
                <w:color w:val="auto"/>
              </w:rPr>
              <w:t xml:space="preserve"> All financial goals materially align with the financial guidance we provide to our stockholders.</w:t>
            </w:r>
          </w:p>
        </w:tc>
      </w:tr>
      <w:tr>
        <w:trPr>
          <w:trHeight w:val="255"/>
        </w:trPr>
        <w:tc>
          <w:tcPr>
            <w:tcW w:w="1240" w:type="dxa"/>
            <w:vAlign w:val="bottom"/>
          </w:tcPr>
          <w:p>
            <w:pPr>
              <w:spacing w:after="0"/>
              <w:rPr>
                <w:sz w:val="22"/>
                <w:szCs w:val="22"/>
                <w:color w:val="auto"/>
              </w:rPr>
            </w:pPr>
          </w:p>
        </w:tc>
        <w:tc>
          <w:tcPr>
            <w:tcW w:w="10060" w:type="dxa"/>
            <w:vAlign w:val="bottom"/>
          </w:tcPr>
          <w:p>
            <w:pPr>
              <w:ind w:left="60"/>
              <w:spacing w:after="0" w:line="127" w:lineRule="exact"/>
              <w:rPr>
                <w:sz w:val="20"/>
                <w:szCs w:val="20"/>
                <w:color w:val="auto"/>
              </w:rPr>
            </w:pPr>
            <w:r>
              <w:rPr>
                <w:rFonts w:ascii="MS PGothic" w:cs="MS PGothic" w:eastAsia="MS PGothic" w:hAnsi="MS PGothic"/>
                <w:sz w:val="11"/>
                <w:szCs w:val="11"/>
                <w:color w:val="00B2E5"/>
              </w:rPr>
              <w:t>✓</w:t>
            </w:r>
            <w:r>
              <w:rPr>
                <w:rFonts w:ascii="Arial" w:cs="Arial" w:eastAsia="Arial" w:hAnsi="Arial"/>
                <w:sz w:val="10"/>
                <w:szCs w:val="10"/>
                <w:color w:val="auto"/>
              </w:rPr>
              <w:t xml:space="preserve"> Adjusted Earnings per Share Growth is based on underlying earnings growth from the business, excluding the impact of share repurchases.</w:t>
            </w:r>
          </w:p>
        </w:tc>
      </w:tr>
      <w:tr>
        <w:trPr>
          <w:trHeight w:val="225"/>
        </w:trPr>
        <w:tc>
          <w:tcPr>
            <w:tcW w:w="1240" w:type="dxa"/>
            <w:vAlign w:val="bottom"/>
            <w:tcBorders>
              <w:bottom w:val="single" w:sz="8" w:color="00B2E5"/>
            </w:tcBorders>
          </w:tcPr>
          <w:p>
            <w:pPr>
              <w:spacing w:after="0"/>
              <w:rPr>
                <w:sz w:val="19"/>
                <w:szCs w:val="19"/>
                <w:color w:val="auto"/>
              </w:rPr>
            </w:pPr>
          </w:p>
        </w:tc>
        <w:tc>
          <w:tcPr>
            <w:tcW w:w="10060" w:type="dxa"/>
            <w:vAlign w:val="bottom"/>
            <w:tcBorders>
              <w:bottom w:val="single" w:sz="8" w:color="00B2E5"/>
            </w:tcBorders>
          </w:tcPr>
          <w:p>
            <w:pPr>
              <w:ind w:left="60"/>
              <w:spacing w:after="0" w:line="161" w:lineRule="exact"/>
              <w:rPr>
                <w:sz w:val="20"/>
                <w:szCs w:val="20"/>
                <w:color w:val="auto"/>
              </w:rPr>
            </w:pPr>
            <w:r>
              <w:rPr>
                <w:rFonts w:ascii="MS PGothic" w:cs="MS PGothic" w:eastAsia="MS PGothic" w:hAnsi="MS PGothic"/>
                <w:sz w:val="11"/>
                <w:szCs w:val="11"/>
                <w:color w:val="00B2E5"/>
              </w:rPr>
              <w:t>✓</w:t>
            </w:r>
            <w:r>
              <w:rPr>
                <w:rFonts w:ascii="Arial" w:cs="Arial" w:eastAsia="Arial" w:hAnsi="Arial"/>
                <w:sz w:val="10"/>
                <w:szCs w:val="10"/>
                <w:color w:val="auto"/>
              </w:rPr>
              <w:t xml:space="preserve"> Relative TSR requires 55</w:t>
            </w:r>
            <w:r>
              <w:rPr>
                <w:rFonts w:ascii="Arial" w:cs="Arial" w:eastAsia="Arial" w:hAnsi="Arial"/>
                <w:sz w:val="14"/>
                <w:szCs w:val="14"/>
                <w:color w:val="auto"/>
                <w:vertAlign w:val="superscript"/>
              </w:rPr>
              <w:t>th</w:t>
            </w:r>
            <w:r>
              <w:rPr>
                <w:rFonts w:ascii="Arial" w:cs="Arial" w:eastAsia="Arial" w:hAnsi="Arial"/>
                <w:sz w:val="10"/>
                <w:szCs w:val="10"/>
                <w:color w:val="auto"/>
              </w:rPr>
              <w:t xml:space="preserve"> percentile (above-median) performance for a target payout of 100%.</w:t>
            </w:r>
          </w:p>
        </w:tc>
      </w:tr>
      <w:tr>
        <w:trPr>
          <w:trHeight w:val="226"/>
        </w:trPr>
        <w:tc>
          <w:tcPr>
            <w:tcW w:w="1240" w:type="dxa"/>
            <w:vAlign w:val="bottom"/>
          </w:tcPr>
          <w:p>
            <w:pPr>
              <w:spacing w:after="0"/>
              <w:rPr>
                <w:sz w:val="20"/>
                <w:szCs w:val="20"/>
                <w:color w:val="auto"/>
              </w:rPr>
            </w:pPr>
            <w:r>
              <w:rPr>
                <w:rFonts w:ascii="Arial" w:cs="Arial" w:eastAsia="Arial" w:hAnsi="Arial"/>
                <w:sz w:val="10"/>
                <w:szCs w:val="10"/>
                <w:b w:val="1"/>
                <w:bCs w:val="1"/>
                <w:color w:val="auto"/>
                <w:w w:val="99"/>
              </w:rPr>
              <w:t>Vary short-term and long-</w:t>
            </w:r>
          </w:p>
        </w:tc>
        <w:tc>
          <w:tcPr>
            <w:tcW w:w="10060" w:type="dxa"/>
            <w:vAlign w:val="bottom"/>
          </w:tcPr>
          <w:p>
            <w:pPr>
              <w:ind w:left="60"/>
              <w:spacing w:after="0" w:line="127" w:lineRule="exact"/>
              <w:rPr>
                <w:sz w:val="20"/>
                <w:szCs w:val="20"/>
                <w:color w:val="auto"/>
              </w:rPr>
            </w:pPr>
            <w:r>
              <w:rPr>
                <w:rFonts w:ascii="MS PGothic" w:cs="MS PGothic" w:eastAsia="MS PGothic" w:hAnsi="MS PGothic"/>
                <w:sz w:val="11"/>
                <w:szCs w:val="11"/>
                <w:color w:val="00B2E5"/>
                <w:w w:val="97"/>
              </w:rPr>
              <w:t>✓</w:t>
            </w:r>
            <w:r>
              <w:rPr>
                <w:rFonts w:ascii="Arial" w:cs="Arial" w:eastAsia="Arial" w:hAnsi="Arial"/>
                <w:sz w:val="10"/>
                <w:szCs w:val="10"/>
                <w:color w:val="auto"/>
                <w:w w:val="97"/>
              </w:rPr>
              <w:t xml:space="preserve"> The Compensation Committee removed Free Cash Flow from the long-term incentive program after adding Operating Cash Flow to the short-term incentive program to avoid redundant metrics. Cash Flow in the short-term better</w:t>
            </w:r>
          </w:p>
        </w:tc>
      </w:tr>
      <w:tr>
        <w:trPr>
          <w:trHeight w:val="128"/>
        </w:trPr>
        <w:tc>
          <w:tcPr>
            <w:tcW w:w="1240" w:type="dxa"/>
            <w:vAlign w:val="bottom"/>
            <w:tcBorders>
              <w:bottom w:val="single" w:sz="8" w:color="00B2E5"/>
            </w:tcBorders>
          </w:tcPr>
          <w:p>
            <w:pPr>
              <w:spacing w:after="0"/>
              <w:rPr>
                <w:sz w:val="20"/>
                <w:szCs w:val="20"/>
                <w:color w:val="auto"/>
              </w:rPr>
            </w:pPr>
            <w:r>
              <w:rPr>
                <w:rFonts w:ascii="Arial" w:cs="Arial" w:eastAsia="Arial" w:hAnsi="Arial"/>
                <w:sz w:val="10"/>
                <w:szCs w:val="10"/>
                <w:b w:val="1"/>
                <w:bCs w:val="1"/>
                <w:color w:val="auto"/>
              </w:rPr>
              <w:t>term incentive metrics</w:t>
            </w:r>
          </w:p>
        </w:tc>
        <w:tc>
          <w:tcPr>
            <w:tcW w:w="10060" w:type="dxa"/>
            <w:vAlign w:val="bottom"/>
            <w:tcBorders>
              <w:bottom w:val="single" w:sz="8" w:color="00B2E5"/>
            </w:tcBorders>
          </w:tcPr>
          <w:p>
            <w:pPr>
              <w:ind w:left="200"/>
              <w:spacing w:after="0"/>
              <w:rPr>
                <w:sz w:val="20"/>
                <w:szCs w:val="20"/>
                <w:color w:val="auto"/>
              </w:rPr>
            </w:pPr>
            <w:r>
              <w:rPr>
                <w:rFonts w:ascii="Arial" w:cs="Arial" w:eastAsia="Arial" w:hAnsi="Arial"/>
                <w:sz w:val="10"/>
                <w:szCs w:val="10"/>
                <w:color w:val="auto"/>
              </w:rPr>
              <w:t>incentivizes managing our working capital while also supporting the continued execution of our capital allocation policy.</w:t>
            </w:r>
          </w:p>
        </w:tc>
      </w:tr>
      <w:tr>
        <w:trPr>
          <w:trHeight w:val="291"/>
        </w:trPr>
        <w:tc>
          <w:tcPr>
            <w:tcW w:w="1240" w:type="dxa"/>
            <w:vAlign w:val="bottom"/>
          </w:tcPr>
          <w:p>
            <w:pPr>
              <w:spacing w:after="0"/>
              <w:rPr>
                <w:sz w:val="24"/>
                <w:szCs w:val="24"/>
                <w:color w:val="auto"/>
              </w:rPr>
            </w:pPr>
          </w:p>
        </w:tc>
        <w:tc>
          <w:tcPr>
            <w:tcW w:w="10060" w:type="dxa"/>
            <w:vAlign w:val="bottom"/>
          </w:tcPr>
          <w:p>
            <w:pPr>
              <w:ind w:left="4340"/>
              <w:spacing w:after="0"/>
              <w:rPr>
                <w:sz w:val="20"/>
                <w:szCs w:val="20"/>
                <w:color w:val="auto"/>
              </w:rPr>
            </w:pPr>
            <w:r>
              <w:rPr>
                <w:rFonts w:ascii="Arial" w:cs="Arial" w:eastAsia="Arial" w:hAnsi="Arial"/>
                <w:sz w:val="12"/>
                <w:szCs w:val="12"/>
                <w:color w:val="auto"/>
              </w:rPr>
              <w:t>43</w:t>
            </w:r>
          </w:p>
        </w:tc>
      </w:tr>
      <w:tr>
        <w:trPr>
          <w:trHeight w:val="139"/>
        </w:trPr>
        <w:tc>
          <w:tcPr>
            <w:tcW w:w="1240" w:type="dxa"/>
            <w:vAlign w:val="bottom"/>
            <w:tcBorders>
              <w:bottom w:val="single" w:sz="8" w:color="808080"/>
            </w:tcBorders>
          </w:tcPr>
          <w:p>
            <w:pPr>
              <w:spacing w:after="0"/>
              <w:rPr>
                <w:sz w:val="12"/>
                <w:szCs w:val="12"/>
                <w:color w:val="auto"/>
              </w:rPr>
            </w:pPr>
          </w:p>
        </w:tc>
        <w:tc>
          <w:tcPr>
            <w:tcW w:w="100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7163435</wp:posOffset>
            </wp:positionH>
            <wp:positionV relativeFrom="paragraph">
              <wp:posOffset>-11430</wp:posOffset>
            </wp:positionV>
            <wp:extent cx="1270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type w:val="continuous"/>
        </w:sectPr>
      </w:pPr>
    </w:p>
    <w:bookmarkStart w:id="67" w:name="page68"/>
    <w:bookmarkEnd w:id="67"/>
    <w:p>
      <w:pPr>
        <w:ind w:left="7"/>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3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00B2E5"/>
        </w:rPr>
        <w:t>Named Executive Officers</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2"/>
          <w:szCs w:val="12"/>
          <w:color w:val="auto"/>
        </w:rPr>
        <w:t>This Compensation Discussion and Analysis ("CD&amp;A") section outlines the compensation philosophy and decisions for the following NEOs as of Fiscal Year 2020:</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18"/>
        </w:trPr>
        <w:tc>
          <w:tcPr>
            <w:tcW w:w="2140" w:type="dxa"/>
            <w:vAlign w:val="bottom"/>
            <w:tcBorders>
              <w:bottom w:val="single" w:sz="8" w:color="00B2E5"/>
            </w:tcBorders>
          </w:tcPr>
          <w:p>
            <w:pPr>
              <w:ind w:left="220"/>
              <w:spacing w:after="0"/>
              <w:rPr>
                <w:sz w:val="20"/>
                <w:szCs w:val="20"/>
                <w:color w:val="auto"/>
              </w:rPr>
            </w:pPr>
            <w:r>
              <w:rPr>
                <w:rFonts w:ascii="Arial" w:cs="Arial" w:eastAsia="Arial" w:hAnsi="Arial"/>
                <w:sz w:val="10"/>
                <w:szCs w:val="10"/>
                <w:b w:val="1"/>
                <w:bCs w:val="1"/>
                <w:color w:val="auto"/>
              </w:rPr>
              <w:t>Named Executive Officer</w:t>
            </w:r>
          </w:p>
        </w:tc>
        <w:tc>
          <w:tcPr>
            <w:tcW w:w="9160" w:type="dxa"/>
            <w:vAlign w:val="bottom"/>
            <w:tcBorders>
              <w:bottom w:val="single" w:sz="8" w:color="00B2E5"/>
            </w:tcBorders>
            <w:gridSpan w:val="2"/>
          </w:tcPr>
          <w:p>
            <w:pPr>
              <w:ind w:left="100"/>
              <w:spacing w:after="0"/>
              <w:rPr>
                <w:sz w:val="20"/>
                <w:szCs w:val="20"/>
                <w:color w:val="auto"/>
              </w:rPr>
            </w:pPr>
            <w:r>
              <w:rPr>
                <w:rFonts w:ascii="Arial" w:cs="Arial" w:eastAsia="Arial" w:hAnsi="Arial"/>
                <w:sz w:val="10"/>
                <w:szCs w:val="10"/>
                <w:b w:val="1"/>
                <w:bCs w:val="1"/>
                <w:color w:val="auto"/>
              </w:rPr>
              <w:t>Role as of the End of Fiscal Year 2020</w:t>
            </w:r>
          </w:p>
        </w:tc>
      </w:tr>
      <w:tr>
        <w:trPr>
          <w:trHeight w:val="162"/>
        </w:trPr>
        <w:tc>
          <w:tcPr>
            <w:tcW w:w="2140" w:type="dxa"/>
            <w:vAlign w:val="bottom"/>
            <w:tcBorders>
              <w:bottom w:val="single" w:sz="8" w:color="00B2E5"/>
              <w:right w:val="single" w:sz="8" w:color="63C1DF"/>
            </w:tcBorders>
          </w:tcPr>
          <w:p>
            <w:pPr>
              <w:ind w:left="220"/>
              <w:spacing w:after="0" w:line="163" w:lineRule="exact"/>
              <w:rPr>
                <w:sz w:val="20"/>
                <w:szCs w:val="20"/>
                <w:color w:val="auto"/>
              </w:rPr>
            </w:pPr>
            <w:r>
              <w:rPr>
                <w:rFonts w:ascii="Arial" w:cs="Arial" w:eastAsia="Arial" w:hAnsi="Arial"/>
                <w:sz w:val="11"/>
                <w:szCs w:val="11"/>
                <w:color w:val="auto"/>
              </w:rPr>
              <w:t>W. Troy Rudd</w:t>
            </w:r>
            <w:r>
              <w:rPr>
                <w:rFonts w:ascii="Arial" w:cs="Arial" w:eastAsia="Arial" w:hAnsi="Arial"/>
                <w:sz w:val="18"/>
                <w:szCs w:val="18"/>
                <w:color w:val="auto"/>
                <w:vertAlign w:val="superscript"/>
              </w:rPr>
              <w:t>(1)</w:t>
            </w:r>
          </w:p>
        </w:tc>
        <w:tc>
          <w:tcPr>
            <w:tcW w:w="9160" w:type="dxa"/>
            <w:vAlign w:val="bottom"/>
            <w:tcBorders>
              <w:bottom w:val="single" w:sz="8" w:color="00B2E5"/>
            </w:tcBorders>
            <w:gridSpan w:val="2"/>
          </w:tcPr>
          <w:p>
            <w:pPr>
              <w:ind w:left="100"/>
              <w:spacing w:after="0"/>
              <w:rPr>
                <w:sz w:val="20"/>
                <w:szCs w:val="20"/>
                <w:color w:val="auto"/>
              </w:rPr>
            </w:pPr>
            <w:r>
              <w:rPr>
                <w:rFonts w:ascii="Arial" w:cs="Arial" w:eastAsia="Arial" w:hAnsi="Arial"/>
                <w:sz w:val="12"/>
                <w:szCs w:val="12"/>
                <w:color w:val="auto"/>
              </w:rPr>
              <w:t>Chief Executive Officer</w:t>
            </w:r>
          </w:p>
        </w:tc>
      </w:tr>
      <w:tr>
        <w:trPr>
          <w:trHeight w:val="153"/>
        </w:trPr>
        <w:tc>
          <w:tcPr>
            <w:tcW w:w="2140" w:type="dxa"/>
            <w:vAlign w:val="bottom"/>
            <w:tcBorders>
              <w:bottom w:val="single" w:sz="8" w:color="00B2E5"/>
              <w:right w:val="single" w:sz="8" w:color="63C1DF"/>
            </w:tcBorders>
          </w:tcPr>
          <w:p>
            <w:pPr>
              <w:ind w:left="220"/>
              <w:spacing w:after="0" w:line="154" w:lineRule="exact"/>
              <w:rPr>
                <w:sz w:val="20"/>
                <w:szCs w:val="20"/>
                <w:color w:val="auto"/>
              </w:rPr>
            </w:pPr>
            <w:r>
              <w:rPr>
                <w:rFonts w:ascii="Arial" w:cs="Arial" w:eastAsia="Arial" w:hAnsi="Arial"/>
                <w:sz w:val="11"/>
                <w:szCs w:val="11"/>
                <w:color w:val="auto"/>
              </w:rPr>
              <w:t>Gaurav Kapoor</w:t>
            </w:r>
            <w:r>
              <w:rPr>
                <w:rFonts w:ascii="Arial" w:cs="Arial" w:eastAsia="Arial" w:hAnsi="Arial"/>
                <w:sz w:val="17"/>
                <w:szCs w:val="17"/>
                <w:color w:val="auto"/>
                <w:vertAlign w:val="superscript"/>
              </w:rPr>
              <w:t>(2)</w:t>
            </w:r>
          </w:p>
        </w:tc>
        <w:tc>
          <w:tcPr>
            <w:tcW w:w="9160" w:type="dxa"/>
            <w:vAlign w:val="bottom"/>
            <w:tcBorders>
              <w:bottom w:val="single" w:sz="8" w:color="00B2E5"/>
            </w:tcBorders>
            <w:gridSpan w:val="2"/>
          </w:tcPr>
          <w:p>
            <w:pPr>
              <w:ind w:left="100"/>
              <w:spacing w:after="0"/>
              <w:rPr>
                <w:sz w:val="20"/>
                <w:szCs w:val="20"/>
                <w:color w:val="auto"/>
              </w:rPr>
            </w:pPr>
            <w:r>
              <w:rPr>
                <w:rFonts w:ascii="Arial" w:cs="Arial" w:eastAsia="Arial" w:hAnsi="Arial"/>
                <w:sz w:val="12"/>
                <w:szCs w:val="12"/>
                <w:color w:val="auto"/>
              </w:rPr>
              <w:t>Chief Financial Officer</w:t>
            </w:r>
          </w:p>
        </w:tc>
      </w:tr>
      <w:tr>
        <w:trPr>
          <w:trHeight w:val="153"/>
        </w:trPr>
        <w:tc>
          <w:tcPr>
            <w:tcW w:w="2140" w:type="dxa"/>
            <w:vAlign w:val="bottom"/>
            <w:tcBorders>
              <w:bottom w:val="single" w:sz="8" w:color="00B2E5"/>
              <w:right w:val="single" w:sz="8" w:color="63C1DF"/>
            </w:tcBorders>
          </w:tcPr>
          <w:p>
            <w:pPr>
              <w:ind w:left="220"/>
              <w:spacing w:after="0" w:line="154" w:lineRule="exact"/>
              <w:rPr>
                <w:sz w:val="20"/>
                <w:szCs w:val="20"/>
                <w:color w:val="auto"/>
              </w:rPr>
            </w:pPr>
            <w:r>
              <w:rPr>
                <w:rFonts w:ascii="Arial" w:cs="Arial" w:eastAsia="Arial" w:hAnsi="Arial"/>
                <w:sz w:val="11"/>
                <w:szCs w:val="11"/>
                <w:color w:val="auto"/>
              </w:rPr>
              <w:t>Lara Poloni</w:t>
            </w:r>
            <w:r>
              <w:rPr>
                <w:rFonts w:ascii="Arial" w:cs="Arial" w:eastAsia="Arial" w:hAnsi="Arial"/>
                <w:sz w:val="17"/>
                <w:szCs w:val="17"/>
                <w:color w:val="auto"/>
                <w:vertAlign w:val="superscript"/>
              </w:rPr>
              <w:t>(3)</w:t>
            </w:r>
          </w:p>
        </w:tc>
        <w:tc>
          <w:tcPr>
            <w:tcW w:w="9160" w:type="dxa"/>
            <w:vAlign w:val="bottom"/>
            <w:tcBorders>
              <w:bottom w:val="single" w:sz="8" w:color="00B2E5"/>
            </w:tcBorders>
            <w:gridSpan w:val="2"/>
          </w:tcPr>
          <w:p>
            <w:pPr>
              <w:ind w:left="100"/>
              <w:spacing w:after="0"/>
              <w:rPr>
                <w:sz w:val="20"/>
                <w:szCs w:val="20"/>
                <w:color w:val="auto"/>
              </w:rPr>
            </w:pPr>
            <w:r>
              <w:rPr>
                <w:rFonts w:ascii="Arial" w:cs="Arial" w:eastAsia="Arial" w:hAnsi="Arial"/>
                <w:sz w:val="12"/>
                <w:szCs w:val="12"/>
                <w:color w:val="auto"/>
              </w:rPr>
              <w:t>President</w:t>
            </w:r>
          </w:p>
        </w:tc>
      </w:tr>
      <w:tr>
        <w:trPr>
          <w:trHeight w:val="153"/>
        </w:trPr>
        <w:tc>
          <w:tcPr>
            <w:tcW w:w="2140" w:type="dxa"/>
            <w:vAlign w:val="bottom"/>
            <w:tcBorders>
              <w:bottom w:val="single" w:sz="8" w:color="00B2E5"/>
              <w:right w:val="single" w:sz="8" w:color="63C1DF"/>
            </w:tcBorders>
          </w:tcPr>
          <w:p>
            <w:pPr>
              <w:ind w:left="220"/>
              <w:spacing w:after="0" w:line="154" w:lineRule="exact"/>
              <w:rPr>
                <w:sz w:val="20"/>
                <w:szCs w:val="20"/>
                <w:color w:val="auto"/>
              </w:rPr>
            </w:pPr>
            <w:r>
              <w:rPr>
                <w:rFonts w:ascii="Arial" w:cs="Arial" w:eastAsia="Arial" w:hAnsi="Arial"/>
                <w:sz w:val="11"/>
                <w:szCs w:val="11"/>
                <w:color w:val="auto"/>
              </w:rPr>
              <w:t>Randall A. Wotring</w:t>
            </w:r>
            <w:r>
              <w:rPr>
                <w:rFonts w:ascii="Arial" w:cs="Arial" w:eastAsia="Arial" w:hAnsi="Arial"/>
                <w:sz w:val="17"/>
                <w:szCs w:val="17"/>
                <w:color w:val="auto"/>
                <w:vertAlign w:val="superscript"/>
              </w:rPr>
              <w:t>(4)</w:t>
            </w:r>
          </w:p>
        </w:tc>
        <w:tc>
          <w:tcPr>
            <w:tcW w:w="9160" w:type="dxa"/>
            <w:vAlign w:val="bottom"/>
            <w:tcBorders>
              <w:bottom w:val="single" w:sz="8" w:color="00B2E5"/>
            </w:tcBorders>
            <w:gridSpan w:val="2"/>
          </w:tcPr>
          <w:p>
            <w:pPr>
              <w:ind w:left="100"/>
              <w:spacing w:after="0"/>
              <w:rPr>
                <w:sz w:val="20"/>
                <w:szCs w:val="20"/>
                <w:color w:val="auto"/>
              </w:rPr>
            </w:pPr>
            <w:r>
              <w:rPr>
                <w:rFonts w:ascii="Arial" w:cs="Arial" w:eastAsia="Arial" w:hAnsi="Arial"/>
                <w:sz w:val="12"/>
                <w:szCs w:val="12"/>
                <w:color w:val="auto"/>
              </w:rPr>
              <w:t>Chief Operating Officer</w:t>
            </w:r>
          </w:p>
        </w:tc>
      </w:tr>
      <w:tr>
        <w:trPr>
          <w:trHeight w:val="153"/>
        </w:trPr>
        <w:tc>
          <w:tcPr>
            <w:tcW w:w="2140" w:type="dxa"/>
            <w:vAlign w:val="bottom"/>
            <w:tcBorders>
              <w:bottom w:val="single" w:sz="8" w:color="00B2E5"/>
              <w:right w:val="single" w:sz="8" w:color="63C1DF"/>
            </w:tcBorders>
          </w:tcPr>
          <w:p>
            <w:pPr>
              <w:ind w:left="220"/>
              <w:spacing w:after="0" w:line="154" w:lineRule="exact"/>
              <w:rPr>
                <w:sz w:val="20"/>
                <w:szCs w:val="20"/>
                <w:color w:val="auto"/>
              </w:rPr>
            </w:pPr>
            <w:r>
              <w:rPr>
                <w:rFonts w:ascii="Arial" w:cs="Arial" w:eastAsia="Arial" w:hAnsi="Arial"/>
                <w:sz w:val="11"/>
                <w:szCs w:val="11"/>
                <w:color w:val="auto"/>
              </w:rPr>
              <w:t>Stephen J. Morriss</w:t>
            </w:r>
            <w:r>
              <w:rPr>
                <w:rFonts w:ascii="Arial" w:cs="Arial" w:eastAsia="Arial" w:hAnsi="Arial"/>
                <w:sz w:val="17"/>
                <w:szCs w:val="17"/>
                <w:color w:val="auto"/>
                <w:vertAlign w:val="superscript"/>
              </w:rPr>
              <w:t>(5)</w:t>
            </w:r>
          </w:p>
        </w:tc>
        <w:tc>
          <w:tcPr>
            <w:tcW w:w="9160" w:type="dxa"/>
            <w:vAlign w:val="bottom"/>
            <w:tcBorders>
              <w:bottom w:val="single" w:sz="8" w:color="00B2E5"/>
            </w:tcBorders>
            <w:gridSpan w:val="2"/>
          </w:tcPr>
          <w:p>
            <w:pPr>
              <w:ind w:left="100"/>
              <w:spacing w:after="0"/>
              <w:rPr>
                <w:sz w:val="20"/>
                <w:szCs w:val="20"/>
                <w:color w:val="auto"/>
              </w:rPr>
            </w:pPr>
            <w:r>
              <w:rPr>
                <w:rFonts w:ascii="Arial" w:cs="Arial" w:eastAsia="Arial" w:hAnsi="Arial"/>
                <w:sz w:val="12"/>
                <w:szCs w:val="12"/>
                <w:color w:val="auto"/>
              </w:rPr>
              <w:t>Group President, Design and Consulting Services—Americas</w:t>
            </w:r>
          </w:p>
        </w:tc>
      </w:tr>
      <w:tr>
        <w:trPr>
          <w:trHeight w:val="153"/>
        </w:trPr>
        <w:tc>
          <w:tcPr>
            <w:tcW w:w="2140" w:type="dxa"/>
            <w:vAlign w:val="bottom"/>
            <w:tcBorders>
              <w:bottom w:val="single" w:sz="8" w:color="00B2E5"/>
              <w:right w:val="single" w:sz="8" w:color="63C1DF"/>
            </w:tcBorders>
          </w:tcPr>
          <w:p>
            <w:pPr>
              <w:ind w:left="220"/>
              <w:spacing w:after="0" w:line="154" w:lineRule="exact"/>
              <w:rPr>
                <w:sz w:val="20"/>
                <w:szCs w:val="20"/>
                <w:color w:val="auto"/>
              </w:rPr>
            </w:pPr>
            <w:r>
              <w:rPr>
                <w:rFonts w:ascii="Arial" w:cs="Arial" w:eastAsia="Arial" w:hAnsi="Arial"/>
                <w:sz w:val="11"/>
                <w:szCs w:val="11"/>
                <w:color w:val="auto"/>
              </w:rPr>
              <w:t>Michael S. Burke</w:t>
            </w:r>
            <w:r>
              <w:rPr>
                <w:rFonts w:ascii="Arial" w:cs="Arial" w:eastAsia="Arial" w:hAnsi="Arial"/>
                <w:sz w:val="17"/>
                <w:szCs w:val="17"/>
                <w:color w:val="auto"/>
                <w:vertAlign w:val="superscript"/>
              </w:rPr>
              <w:t>(6)</w:t>
            </w:r>
          </w:p>
        </w:tc>
        <w:tc>
          <w:tcPr>
            <w:tcW w:w="9160" w:type="dxa"/>
            <w:vAlign w:val="bottom"/>
            <w:tcBorders>
              <w:bottom w:val="single" w:sz="8" w:color="00B2E5"/>
            </w:tcBorders>
            <w:gridSpan w:val="2"/>
          </w:tcPr>
          <w:p>
            <w:pPr>
              <w:ind w:left="100"/>
              <w:spacing w:after="0"/>
              <w:rPr>
                <w:sz w:val="20"/>
                <w:szCs w:val="20"/>
                <w:color w:val="auto"/>
              </w:rPr>
            </w:pPr>
            <w:r>
              <w:rPr>
                <w:rFonts w:ascii="Arial" w:cs="Arial" w:eastAsia="Arial" w:hAnsi="Arial"/>
                <w:sz w:val="12"/>
                <w:szCs w:val="12"/>
                <w:color w:val="auto"/>
              </w:rPr>
              <w:t>Former Chairman of the Board and Chief Executive Officer</w:t>
            </w:r>
          </w:p>
        </w:tc>
      </w:tr>
      <w:tr>
        <w:trPr>
          <w:trHeight w:val="62"/>
        </w:trPr>
        <w:tc>
          <w:tcPr>
            <w:tcW w:w="2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240" w:type="dxa"/>
            <w:vAlign w:val="bottom"/>
          </w:tcPr>
          <w:p>
            <w:pPr>
              <w:spacing w:after="0"/>
              <w:rPr>
                <w:sz w:val="5"/>
                <w:szCs w:val="5"/>
                <w:color w:val="auto"/>
              </w:rPr>
            </w:pPr>
          </w:p>
        </w:tc>
      </w:tr>
    </w:tbl>
    <w:p>
      <w:pPr>
        <w:spacing w:after="0" w:line="134" w:lineRule="exact"/>
        <w:rPr>
          <w:sz w:val="20"/>
          <w:szCs w:val="20"/>
          <w:color w:val="auto"/>
        </w:rPr>
      </w:pPr>
    </w:p>
    <w:p>
      <w:pPr>
        <w:ind w:left="367" w:hanging="367"/>
        <w:spacing w:after="0"/>
        <w:tabs>
          <w:tab w:leader="none" w:pos="367" w:val="left"/>
        </w:tabs>
        <w:numPr>
          <w:ilvl w:val="0"/>
          <w:numId w:val="35"/>
        </w:numPr>
        <w:rPr>
          <w:rFonts w:ascii="Arial" w:cs="Arial" w:eastAsia="Arial" w:hAnsi="Arial"/>
          <w:sz w:val="12"/>
          <w:szCs w:val="12"/>
          <w:color w:val="auto"/>
        </w:rPr>
      </w:pPr>
      <w:r>
        <w:rPr>
          <w:rFonts w:ascii="Arial" w:cs="Arial" w:eastAsia="Arial" w:hAnsi="Arial"/>
          <w:sz w:val="12"/>
          <w:szCs w:val="12"/>
          <w:color w:val="auto"/>
        </w:rPr>
        <w:t>Effective August 15, 2020, W. Troy Rudd was promoted from Executive Vice President, Chief Financial Officer to Chief Executive Officer.</w:t>
      </w:r>
    </w:p>
    <w:p>
      <w:pPr>
        <w:spacing w:after="0" w:line="144" w:lineRule="exact"/>
        <w:rPr>
          <w:rFonts w:ascii="Arial" w:cs="Arial" w:eastAsia="Arial" w:hAnsi="Arial"/>
          <w:sz w:val="12"/>
          <w:szCs w:val="12"/>
          <w:color w:val="auto"/>
        </w:rPr>
      </w:pPr>
    </w:p>
    <w:p>
      <w:pPr>
        <w:ind w:left="367" w:hanging="367"/>
        <w:spacing w:after="0"/>
        <w:tabs>
          <w:tab w:leader="none" w:pos="367" w:val="left"/>
        </w:tabs>
        <w:numPr>
          <w:ilvl w:val="0"/>
          <w:numId w:val="35"/>
        </w:numPr>
        <w:rPr>
          <w:rFonts w:ascii="Arial" w:cs="Arial" w:eastAsia="Arial" w:hAnsi="Arial"/>
          <w:sz w:val="12"/>
          <w:szCs w:val="12"/>
          <w:color w:val="auto"/>
        </w:rPr>
      </w:pPr>
      <w:r>
        <w:rPr>
          <w:rFonts w:ascii="Arial" w:cs="Arial" w:eastAsia="Arial" w:hAnsi="Arial"/>
          <w:sz w:val="12"/>
          <w:szCs w:val="12"/>
          <w:color w:val="auto"/>
        </w:rPr>
        <w:t>Effective August 15, 2020, Gaurav Kapoor was promoted from Chief Accounting Officer, Global Controller and Treasurer to Chief Financial Officer.</w:t>
      </w:r>
    </w:p>
    <w:p>
      <w:pPr>
        <w:spacing w:after="0" w:line="135" w:lineRule="exact"/>
        <w:rPr>
          <w:rFonts w:ascii="Arial" w:cs="Arial" w:eastAsia="Arial" w:hAnsi="Arial"/>
          <w:sz w:val="12"/>
          <w:szCs w:val="12"/>
          <w:color w:val="auto"/>
        </w:rPr>
      </w:pPr>
    </w:p>
    <w:p>
      <w:pPr>
        <w:ind w:left="367" w:hanging="367"/>
        <w:spacing w:after="0"/>
        <w:tabs>
          <w:tab w:leader="none" w:pos="367" w:val="left"/>
        </w:tabs>
        <w:numPr>
          <w:ilvl w:val="0"/>
          <w:numId w:val="35"/>
        </w:numPr>
        <w:rPr>
          <w:rFonts w:ascii="Arial" w:cs="Arial" w:eastAsia="Arial" w:hAnsi="Arial"/>
          <w:sz w:val="12"/>
          <w:szCs w:val="12"/>
          <w:color w:val="auto"/>
        </w:rPr>
      </w:pPr>
      <w:r>
        <w:rPr>
          <w:rFonts w:ascii="Arial" w:cs="Arial" w:eastAsia="Arial" w:hAnsi="Arial"/>
          <w:sz w:val="12"/>
          <w:szCs w:val="12"/>
          <w:color w:val="auto"/>
        </w:rPr>
        <w:t>Effective August 15, 2020, Lara Poloni was promoted from Chief Executive of Europe, Middle East and Africa to President.</w:t>
      </w:r>
    </w:p>
    <w:p>
      <w:pPr>
        <w:spacing w:after="0" w:line="135" w:lineRule="exact"/>
        <w:rPr>
          <w:rFonts w:ascii="Arial" w:cs="Arial" w:eastAsia="Arial" w:hAnsi="Arial"/>
          <w:sz w:val="12"/>
          <w:szCs w:val="12"/>
          <w:color w:val="auto"/>
        </w:rPr>
      </w:pPr>
    </w:p>
    <w:p>
      <w:pPr>
        <w:ind w:left="367" w:hanging="367"/>
        <w:spacing w:after="0"/>
        <w:tabs>
          <w:tab w:leader="none" w:pos="367" w:val="left"/>
        </w:tabs>
        <w:numPr>
          <w:ilvl w:val="0"/>
          <w:numId w:val="35"/>
        </w:numPr>
        <w:rPr>
          <w:rFonts w:ascii="Arial" w:cs="Arial" w:eastAsia="Arial" w:hAnsi="Arial"/>
          <w:sz w:val="12"/>
          <w:szCs w:val="12"/>
          <w:color w:val="auto"/>
        </w:rPr>
      </w:pPr>
      <w:r>
        <w:rPr>
          <w:rFonts w:ascii="Arial" w:cs="Arial" w:eastAsia="Arial" w:hAnsi="Arial"/>
          <w:sz w:val="12"/>
          <w:szCs w:val="12"/>
          <w:color w:val="auto"/>
        </w:rPr>
        <w:t>Effective October 2, 2020, Randall A. Wotring ceased serving as Chief Operating Officer, with a retirement date of December 31, 2020.</w:t>
      </w:r>
    </w:p>
    <w:p>
      <w:pPr>
        <w:spacing w:after="0" w:line="144" w:lineRule="exact"/>
        <w:rPr>
          <w:rFonts w:ascii="Arial" w:cs="Arial" w:eastAsia="Arial" w:hAnsi="Arial"/>
          <w:sz w:val="12"/>
          <w:szCs w:val="12"/>
          <w:color w:val="auto"/>
        </w:rPr>
      </w:pPr>
    </w:p>
    <w:p>
      <w:pPr>
        <w:ind w:left="367" w:hanging="367"/>
        <w:spacing w:after="0"/>
        <w:tabs>
          <w:tab w:leader="none" w:pos="367" w:val="left"/>
        </w:tabs>
        <w:numPr>
          <w:ilvl w:val="0"/>
          <w:numId w:val="35"/>
        </w:numPr>
        <w:rPr>
          <w:rFonts w:ascii="Arial" w:cs="Arial" w:eastAsia="Arial" w:hAnsi="Arial"/>
          <w:sz w:val="12"/>
          <w:szCs w:val="12"/>
          <w:color w:val="auto"/>
        </w:rPr>
      </w:pPr>
      <w:r>
        <w:rPr>
          <w:rFonts w:ascii="Arial" w:cs="Arial" w:eastAsia="Arial" w:hAnsi="Arial"/>
          <w:sz w:val="12"/>
          <w:szCs w:val="12"/>
          <w:color w:val="auto"/>
        </w:rPr>
        <w:t>Effective October 2, 2020, Stephen J. Morriss ceased serving as the Group President, Design and Consulting Services—Americas.</w:t>
      </w:r>
    </w:p>
    <w:p>
      <w:pPr>
        <w:spacing w:after="0" w:line="135" w:lineRule="exact"/>
        <w:rPr>
          <w:rFonts w:ascii="Arial" w:cs="Arial" w:eastAsia="Arial" w:hAnsi="Arial"/>
          <w:sz w:val="12"/>
          <w:szCs w:val="12"/>
          <w:color w:val="auto"/>
        </w:rPr>
      </w:pPr>
    </w:p>
    <w:p>
      <w:pPr>
        <w:ind w:left="367" w:hanging="367"/>
        <w:spacing w:after="0"/>
        <w:tabs>
          <w:tab w:leader="none" w:pos="367" w:val="left"/>
        </w:tabs>
        <w:numPr>
          <w:ilvl w:val="0"/>
          <w:numId w:val="35"/>
        </w:numPr>
        <w:rPr>
          <w:rFonts w:ascii="Arial" w:cs="Arial" w:eastAsia="Arial" w:hAnsi="Arial"/>
          <w:sz w:val="12"/>
          <w:szCs w:val="12"/>
          <w:color w:val="auto"/>
        </w:rPr>
      </w:pPr>
      <w:r>
        <w:rPr>
          <w:rFonts w:ascii="Arial" w:cs="Arial" w:eastAsia="Arial" w:hAnsi="Arial"/>
          <w:sz w:val="12"/>
          <w:szCs w:val="12"/>
          <w:color w:val="auto"/>
        </w:rPr>
        <w:t>Effective August 14, 2020, Michael S. Burke ceased serving as the Chairman of the Board and Chief Executive Officer.</w:t>
      </w:r>
    </w:p>
    <w:p>
      <w:pPr>
        <w:spacing w:after="0" w:line="13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00B2E5"/>
        </w:rPr>
        <w:t>Executive Pay Program and Practices</w:t>
      </w:r>
    </w:p>
    <w:p>
      <w:pPr>
        <w:spacing w:after="0" w:line="150" w:lineRule="exact"/>
        <w:rPr>
          <w:sz w:val="20"/>
          <w:szCs w:val="20"/>
          <w:color w:val="auto"/>
        </w:rPr>
      </w:pPr>
    </w:p>
    <w:p>
      <w:pPr>
        <w:ind w:left="7" w:right="20"/>
        <w:spacing w:after="0" w:line="274" w:lineRule="auto"/>
        <w:rPr>
          <w:sz w:val="20"/>
          <w:szCs w:val="20"/>
          <w:color w:val="auto"/>
        </w:rPr>
      </w:pPr>
      <w:r>
        <w:rPr>
          <w:rFonts w:ascii="Arial" w:cs="Arial" w:eastAsia="Arial" w:hAnsi="Arial"/>
          <w:sz w:val="12"/>
          <w:szCs w:val="12"/>
          <w:color w:val="auto"/>
        </w:rPr>
        <w:t>A significant majority of our NEOs' compensation is "performance based" (i.e., subject to the accomplishment of individual and Company objectives) and stock based (i.e., aligned with stockholders' interests) as follows:</w:t>
      </w:r>
    </w:p>
    <w:p>
      <w:pPr>
        <w:spacing w:after="0" w:line="102" w:lineRule="exact"/>
        <w:rPr>
          <w:sz w:val="20"/>
          <w:szCs w:val="20"/>
          <w:color w:val="auto"/>
        </w:rPr>
      </w:pPr>
    </w:p>
    <w:p>
      <w:pPr>
        <w:ind w:left="2047"/>
        <w:spacing w:after="0"/>
        <w:tabs>
          <w:tab w:leader="none" w:pos="7727" w:val="left"/>
        </w:tabs>
        <w:rPr>
          <w:sz w:val="20"/>
          <w:szCs w:val="20"/>
          <w:color w:val="auto"/>
        </w:rPr>
      </w:pPr>
      <w:r>
        <w:rPr>
          <w:rFonts w:ascii="Arial" w:cs="Arial" w:eastAsia="Arial" w:hAnsi="Arial"/>
          <w:sz w:val="12"/>
          <w:szCs w:val="12"/>
          <w:b w:val="1"/>
          <w:bCs w:val="1"/>
          <w:color w:val="00B2E5"/>
        </w:rPr>
        <w:t>CEO Annual Target Pay</w:t>
      </w:r>
      <w:r>
        <w:rPr>
          <w:sz w:val="20"/>
          <w:szCs w:val="20"/>
          <w:color w:val="auto"/>
        </w:rPr>
        <w:tab/>
      </w:r>
      <w:r>
        <w:rPr>
          <w:rFonts w:ascii="Arial" w:cs="Arial" w:eastAsia="Arial" w:hAnsi="Arial"/>
          <w:sz w:val="11"/>
          <w:szCs w:val="11"/>
          <w:b w:val="1"/>
          <w:bCs w:val="1"/>
          <w:color w:val="00B2E5"/>
        </w:rPr>
        <w:t>Other NEO Annual Target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112395</wp:posOffset>
            </wp:positionV>
            <wp:extent cx="1753870" cy="12846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53870" cy="128460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112395</wp:posOffset>
            </wp:positionV>
            <wp:extent cx="1684020" cy="12846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84020" cy="128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83755" cy="18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68" w:name="page69"/>
    <w:bookmarkEnd w:id="68"/>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The primary elements of our executive pay program support our executive pay philosophy and are directly linked to individual and company performance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1616075</wp:posOffset>
            </wp:positionH>
            <wp:positionV relativeFrom="paragraph">
              <wp:posOffset>106680</wp:posOffset>
            </wp:positionV>
            <wp:extent cx="3941445" cy="42887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941445" cy="428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159"/>
          </w:cols>
          <w:pgMar w:left="300" w:top="128" w:right="1440" w:bottom="1440" w:gutter="0" w:footer="0" w:header="0"/>
        </w:sectPr>
      </w:pPr>
    </w:p>
    <w:bookmarkStart w:id="69" w:name="page70"/>
    <w:bookmarkEnd w:id="69"/>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COMPENSATION GOVERNANCE, PROCESS AND DECISIONS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Executive Pay Philosophy</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Our executive pay program is designed to support our strategy to deliver industry-leading profitable growth and stockholder value creation. It is underlined by our compensation philosophy that aims to attract and retain the best and brightest in our industry and recognize and reward outstanding achievements that drive long-term profitable growth and create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76770" cy="2781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770" cy="27813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FFFFFE"/>
        </w:rPr>
        <w:t>Pillars of our Executive Pay Program</w:t>
      </w:r>
    </w:p>
    <w:p>
      <w:pPr>
        <w:spacing w:after="0" w:line="281" w:lineRule="exact"/>
        <w:rPr>
          <w:sz w:val="20"/>
          <w:szCs w:val="20"/>
          <w:color w:val="auto"/>
        </w:rPr>
      </w:pPr>
    </w:p>
    <w:p>
      <w:pPr>
        <w:spacing w:after="0"/>
        <w:tabs>
          <w:tab w:leader="none" w:pos="1240" w:val="left"/>
        </w:tabs>
        <w:rPr>
          <w:sz w:val="20"/>
          <w:szCs w:val="20"/>
          <w:color w:val="auto"/>
        </w:rPr>
      </w:pPr>
      <w:r>
        <w:rPr>
          <w:rFonts w:ascii="Arial" w:cs="Arial" w:eastAsia="Arial" w:hAnsi="Arial"/>
          <w:sz w:val="12"/>
          <w:szCs w:val="12"/>
          <w:b w:val="1"/>
          <w:bCs w:val="1"/>
          <w:color w:val="auto"/>
        </w:rPr>
        <w:t>Market Competitive:</w:t>
      </w:r>
      <w:r>
        <w:rPr>
          <w:sz w:val="20"/>
          <w:szCs w:val="20"/>
          <w:color w:val="auto"/>
        </w:rPr>
        <w:tab/>
      </w:r>
      <w:r>
        <w:rPr>
          <w:rFonts w:ascii="Arial" w:cs="Arial" w:eastAsia="Arial" w:hAnsi="Arial"/>
          <w:sz w:val="11"/>
          <w:szCs w:val="11"/>
          <w:color w:val="auto"/>
        </w:rPr>
        <w:t>Assess NEO target pay levels against market compensation benchmarks prepared by our independent compensation consultant</w:t>
      </w:r>
    </w:p>
    <w:p>
      <w:pPr>
        <w:spacing w:after="0" w:line="145" w:lineRule="exact"/>
        <w:rPr>
          <w:sz w:val="20"/>
          <w:szCs w:val="20"/>
          <w:color w:val="auto"/>
        </w:rPr>
      </w:pPr>
    </w:p>
    <w:p>
      <w:pPr>
        <w:spacing w:after="0"/>
        <w:tabs>
          <w:tab w:leader="none" w:pos="1420" w:val="left"/>
        </w:tabs>
        <w:rPr>
          <w:sz w:val="20"/>
          <w:szCs w:val="20"/>
          <w:color w:val="auto"/>
        </w:rPr>
      </w:pPr>
      <w:r>
        <w:rPr>
          <w:rFonts w:ascii="Arial" w:cs="Arial" w:eastAsia="Arial" w:hAnsi="Arial"/>
          <w:sz w:val="12"/>
          <w:szCs w:val="12"/>
          <w:b w:val="1"/>
          <w:bCs w:val="1"/>
          <w:color w:val="auto"/>
        </w:rPr>
        <w:t>Pay Supports Strategy:</w:t>
      </w:r>
      <w:r>
        <w:rPr>
          <w:sz w:val="20"/>
          <w:szCs w:val="20"/>
          <w:color w:val="auto"/>
        </w:rPr>
        <w:tab/>
      </w:r>
      <w:r>
        <w:rPr>
          <w:rFonts w:ascii="Arial" w:cs="Arial" w:eastAsia="Arial" w:hAnsi="Arial"/>
          <w:sz w:val="11"/>
          <w:szCs w:val="11"/>
          <w:color w:val="auto"/>
        </w:rPr>
        <w:t>Incentive metrics designed to drive achievement of long-term financial and strategic objectives</w:t>
      </w:r>
    </w:p>
    <w:p>
      <w:pPr>
        <w:spacing w:after="0" w:line="145"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b w:val="1"/>
          <w:bCs w:val="1"/>
          <w:color w:val="auto"/>
        </w:rPr>
        <w:t>Performance-Based:</w:t>
      </w:r>
      <w:r>
        <w:rPr>
          <w:sz w:val="20"/>
          <w:szCs w:val="20"/>
          <w:color w:val="auto"/>
        </w:rPr>
        <w:tab/>
      </w:r>
      <w:r>
        <w:rPr>
          <w:rFonts w:ascii="Arial" w:cs="Arial" w:eastAsia="Arial" w:hAnsi="Arial"/>
          <w:sz w:val="11"/>
          <w:szCs w:val="11"/>
          <w:color w:val="auto"/>
        </w:rPr>
        <w:t>Impose performance conditions on the majority of our NEOs' compensation</w:t>
      </w:r>
    </w:p>
    <w:p>
      <w:pPr>
        <w:spacing w:after="0" w:line="145" w:lineRule="exact"/>
        <w:rPr>
          <w:sz w:val="20"/>
          <w:szCs w:val="20"/>
          <w:color w:val="auto"/>
        </w:rPr>
      </w:pPr>
    </w:p>
    <w:p>
      <w:pPr>
        <w:spacing w:after="0"/>
        <w:tabs>
          <w:tab w:leader="none" w:pos="1400" w:val="left"/>
        </w:tabs>
        <w:rPr>
          <w:sz w:val="20"/>
          <w:szCs w:val="20"/>
          <w:color w:val="auto"/>
        </w:rPr>
      </w:pPr>
      <w:r>
        <w:rPr>
          <w:rFonts w:ascii="Arial" w:cs="Arial" w:eastAsia="Arial" w:hAnsi="Arial"/>
          <w:sz w:val="12"/>
          <w:szCs w:val="12"/>
          <w:b w:val="1"/>
          <w:bCs w:val="1"/>
          <w:color w:val="auto"/>
        </w:rPr>
        <w:t>Rigorous Goal Setting:</w:t>
      </w:r>
      <w:r>
        <w:rPr>
          <w:sz w:val="20"/>
          <w:szCs w:val="20"/>
          <w:color w:val="auto"/>
        </w:rPr>
        <w:tab/>
      </w:r>
      <w:r>
        <w:rPr>
          <w:rFonts w:ascii="Arial" w:cs="Arial" w:eastAsia="Arial" w:hAnsi="Arial"/>
          <w:sz w:val="11"/>
          <w:szCs w:val="11"/>
          <w:color w:val="auto"/>
        </w:rPr>
        <w:t>Require performance that meets investor guidance and/or outperforms our industry for target payout on incentives</w:t>
      </w:r>
    </w:p>
    <w:p>
      <w:pPr>
        <w:spacing w:after="0" w:line="145" w:lineRule="exact"/>
        <w:rPr>
          <w:sz w:val="20"/>
          <w:szCs w:val="20"/>
          <w:color w:val="auto"/>
        </w:rPr>
      </w:pPr>
    </w:p>
    <w:p>
      <w:pPr>
        <w:spacing w:after="0"/>
        <w:tabs>
          <w:tab w:leader="none" w:pos="1440" w:val="left"/>
        </w:tabs>
        <w:rPr>
          <w:sz w:val="20"/>
          <w:szCs w:val="20"/>
          <w:color w:val="auto"/>
        </w:rPr>
      </w:pPr>
      <w:r>
        <w:rPr>
          <w:rFonts w:ascii="Arial" w:cs="Arial" w:eastAsia="Arial" w:hAnsi="Arial"/>
          <w:sz w:val="12"/>
          <w:szCs w:val="12"/>
          <w:b w:val="1"/>
          <w:bCs w:val="1"/>
          <w:color w:val="auto"/>
        </w:rPr>
        <w:t>Shareholder Alignment:</w:t>
      </w:r>
      <w:r>
        <w:rPr>
          <w:sz w:val="20"/>
          <w:szCs w:val="20"/>
          <w:color w:val="auto"/>
        </w:rPr>
        <w:tab/>
      </w:r>
      <w:r>
        <w:rPr>
          <w:rFonts w:ascii="Arial" w:cs="Arial" w:eastAsia="Arial" w:hAnsi="Arial"/>
          <w:sz w:val="11"/>
          <w:szCs w:val="11"/>
          <w:color w:val="auto"/>
        </w:rPr>
        <w:t>NEO financial interests aligned with those of our shareholders with long-term equity awards comprising a majority of each NEO's total compensation</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Compensation Process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Compensation decisions are made as part of a year-long review and collaborative process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1795780</wp:posOffset>
            </wp:positionH>
            <wp:positionV relativeFrom="paragraph">
              <wp:posOffset>99060</wp:posOffset>
            </wp:positionV>
            <wp:extent cx="3576955" cy="12846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576955" cy="128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spacing w:after="0" w:line="247" w:lineRule="auto"/>
        <w:rPr>
          <w:sz w:val="20"/>
          <w:szCs w:val="20"/>
          <w:color w:val="auto"/>
        </w:rPr>
      </w:pPr>
      <w:r>
        <w:rPr>
          <w:rFonts w:ascii="Arial" w:cs="Arial" w:eastAsia="Arial" w:hAnsi="Arial"/>
          <w:sz w:val="12"/>
          <w:szCs w:val="12"/>
          <w:color w:val="auto"/>
        </w:rPr>
        <w:t>The Compensation Committee, which is composed solely of independent directors, has been authorized to determine and approve compensation for AECOM's executive officers. As part of the annual compensation planning process, the Compensation Committee reviews the NEOs' base salary, short-term and long-term incentive compensation, with a focus on the total reward package. As further described below, the Compensation Committee looks to a peer group of companies, as well as the broader market, as a baseline for compensation decisions for NEOs. However, AECOM does not target executive officer compensation at a specific level or percentage relative to compensation provided by the companies in the compensation peer group or broader market. Instead, when determining compensation for executive officers, the Compensation Committee takes into account a broad array of factors, including the experience level of the individuals in their current positions, the overall financial and strategic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0" w:name="page71"/>
    <w:bookmarkEnd w:id="70"/>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performance of the Company during the year and the performance and contribution of each executive during the year relative to individual, pre-defined goals and objectives. Differences in compensation levels for our NEOs are driven by the Compensation Committee's assessment, in its judgment, of each of our executive's responsibilities, experience and compensation levels for similar positions at peer companies. Except as otherwise noted in this CD&amp;A, the Compensation Committee's determinations are subjective and the result of business judgment informed by members' experiences, analysis of peer company data, input from the independent consultant, and overall compensation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76770" cy="2781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770" cy="278130"/>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FFFFFE"/>
        </w:rPr>
        <w:t>Role of the Compensation Committee</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1"/>
          <w:szCs w:val="11"/>
          <w:color w:val="auto"/>
        </w:rPr>
        <w:t>Reviews the Company's financial, strategic and operational metrics and goals, compensation peer group and approves the performance objectives of the CEO and other executive officers.</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1"/>
          <w:szCs w:val="11"/>
          <w:color w:val="auto"/>
        </w:rPr>
        <w:t>Approves design changes to the executive compensation program, as applicable.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1"/>
          <w:szCs w:val="11"/>
          <w:color w:val="auto"/>
        </w:rPr>
        <w:t>Reviews full-year Company financial and strategic performance to understand what was accomplished relative to established objectives.</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1"/>
          <w:szCs w:val="11"/>
          <w:color w:val="auto"/>
        </w:rPr>
        <w:t>Evaluates the CEO's performance in light of the review of Company performance.</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1"/>
          <w:szCs w:val="11"/>
          <w:color w:val="auto"/>
        </w:rPr>
        <w:t>Discusses with the CEO his evaluation of the performance of each of the other executive officers relative to their individual performance objectives.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1"/>
          <w:szCs w:val="11"/>
          <w:color w:val="auto"/>
        </w:rPr>
        <w:t>Determines compensation amounts for the CEO and each of the other executive officers, taking into account:</w:t>
      </w:r>
    </w:p>
    <w:p>
      <w:pPr>
        <w:spacing w:after="0" w:line="281" w:lineRule="exact"/>
        <w:rPr>
          <w:sz w:val="20"/>
          <w:szCs w:val="20"/>
          <w:color w:val="auto"/>
        </w:rPr>
      </w:pPr>
    </w:p>
    <w:p>
      <w:pPr>
        <w:ind w:left="1460" w:hanging="373"/>
        <w:spacing w:after="0"/>
        <w:tabs>
          <w:tab w:leader="none" w:pos="1460" w:val="left"/>
        </w:tabs>
        <w:numPr>
          <w:ilvl w:val="1"/>
          <w:numId w:val="36"/>
        </w:numPr>
        <w:rPr>
          <w:rFonts w:ascii="Arial" w:cs="Arial" w:eastAsia="Arial" w:hAnsi="Arial"/>
          <w:sz w:val="12"/>
          <w:szCs w:val="12"/>
          <w:color w:val="auto"/>
        </w:rPr>
      </w:pPr>
      <w:r>
        <w:rPr>
          <w:rFonts w:ascii="Arial" w:cs="Arial" w:eastAsia="Arial" w:hAnsi="Arial"/>
          <w:sz w:val="12"/>
          <w:szCs w:val="12"/>
          <w:color w:val="auto"/>
        </w:rPr>
        <w:t>Prior year's compensation;</w:t>
      </w:r>
    </w:p>
    <w:p>
      <w:pPr>
        <w:spacing w:after="0" w:line="144" w:lineRule="exact"/>
        <w:rPr>
          <w:rFonts w:ascii="Arial" w:cs="Arial" w:eastAsia="Arial" w:hAnsi="Arial"/>
          <w:sz w:val="12"/>
          <w:szCs w:val="12"/>
          <w:color w:val="auto"/>
        </w:rPr>
      </w:pPr>
    </w:p>
    <w:p>
      <w:pPr>
        <w:ind w:left="1460" w:hanging="373"/>
        <w:spacing w:after="0"/>
        <w:tabs>
          <w:tab w:leader="none" w:pos="1460" w:val="left"/>
        </w:tabs>
        <w:numPr>
          <w:ilvl w:val="1"/>
          <w:numId w:val="36"/>
        </w:numPr>
        <w:rPr>
          <w:rFonts w:ascii="Arial" w:cs="Arial" w:eastAsia="Arial" w:hAnsi="Arial"/>
          <w:sz w:val="12"/>
          <w:szCs w:val="12"/>
          <w:color w:val="auto"/>
        </w:rPr>
      </w:pPr>
      <w:r>
        <w:rPr>
          <w:rFonts w:ascii="Arial" w:cs="Arial" w:eastAsia="Arial" w:hAnsi="Arial"/>
          <w:sz w:val="12"/>
          <w:szCs w:val="12"/>
          <w:color w:val="auto"/>
        </w:rPr>
        <w:t>Performance assessments;</w:t>
      </w:r>
    </w:p>
    <w:p>
      <w:pPr>
        <w:spacing w:after="0" w:line="135" w:lineRule="exact"/>
        <w:rPr>
          <w:rFonts w:ascii="Arial" w:cs="Arial" w:eastAsia="Arial" w:hAnsi="Arial"/>
          <w:sz w:val="12"/>
          <w:szCs w:val="12"/>
          <w:color w:val="auto"/>
        </w:rPr>
      </w:pPr>
    </w:p>
    <w:p>
      <w:pPr>
        <w:ind w:left="1460" w:hanging="373"/>
        <w:spacing w:after="0"/>
        <w:tabs>
          <w:tab w:leader="none" w:pos="1460" w:val="left"/>
        </w:tabs>
        <w:numPr>
          <w:ilvl w:val="1"/>
          <w:numId w:val="36"/>
        </w:numPr>
        <w:rPr>
          <w:rFonts w:ascii="Arial" w:cs="Arial" w:eastAsia="Arial" w:hAnsi="Arial"/>
          <w:sz w:val="12"/>
          <w:szCs w:val="12"/>
          <w:color w:val="auto"/>
        </w:rPr>
      </w:pPr>
      <w:r>
        <w:rPr>
          <w:rFonts w:ascii="Arial" w:cs="Arial" w:eastAsia="Arial" w:hAnsi="Arial"/>
          <w:sz w:val="12"/>
          <w:szCs w:val="12"/>
          <w:color w:val="auto"/>
        </w:rPr>
        <w:t>Market considerations;</w:t>
      </w:r>
    </w:p>
    <w:p>
      <w:pPr>
        <w:spacing w:after="0" w:line="135" w:lineRule="exact"/>
        <w:rPr>
          <w:rFonts w:ascii="Arial" w:cs="Arial" w:eastAsia="Arial" w:hAnsi="Arial"/>
          <w:sz w:val="12"/>
          <w:szCs w:val="12"/>
          <w:color w:val="auto"/>
        </w:rPr>
      </w:pPr>
    </w:p>
    <w:p>
      <w:pPr>
        <w:ind w:left="1460" w:hanging="373"/>
        <w:spacing w:after="0"/>
        <w:tabs>
          <w:tab w:leader="none" w:pos="1460" w:val="left"/>
        </w:tabs>
        <w:numPr>
          <w:ilvl w:val="1"/>
          <w:numId w:val="36"/>
        </w:numPr>
        <w:rPr>
          <w:rFonts w:ascii="Arial" w:cs="Arial" w:eastAsia="Arial" w:hAnsi="Arial"/>
          <w:sz w:val="12"/>
          <w:szCs w:val="12"/>
          <w:color w:val="auto"/>
        </w:rPr>
      </w:pPr>
      <w:r>
        <w:rPr>
          <w:rFonts w:ascii="Arial" w:cs="Arial" w:eastAsia="Arial" w:hAnsi="Arial"/>
          <w:sz w:val="12"/>
          <w:szCs w:val="12"/>
          <w:color w:val="auto"/>
        </w:rPr>
        <w:t>Individual performance and retention considerations;</w:t>
      </w:r>
    </w:p>
    <w:p>
      <w:pPr>
        <w:spacing w:after="0" w:line="144" w:lineRule="exact"/>
        <w:rPr>
          <w:rFonts w:ascii="Arial" w:cs="Arial" w:eastAsia="Arial" w:hAnsi="Arial"/>
          <w:sz w:val="12"/>
          <w:szCs w:val="12"/>
          <w:color w:val="auto"/>
        </w:rPr>
      </w:pPr>
    </w:p>
    <w:p>
      <w:pPr>
        <w:ind w:left="1460" w:hanging="373"/>
        <w:spacing w:after="0"/>
        <w:tabs>
          <w:tab w:leader="none" w:pos="1460" w:val="left"/>
        </w:tabs>
        <w:numPr>
          <w:ilvl w:val="1"/>
          <w:numId w:val="36"/>
        </w:numPr>
        <w:rPr>
          <w:rFonts w:ascii="Arial" w:cs="Arial" w:eastAsia="Arial" w:hAnsi="Arial"/>
          <w:sz w:val="12"/>
          <w:szCs w:val="12"/>
          <w:color w:val="auto"/>
        </w:rPr>
      </w:pPr>
      <w:r>
        <w:rPr>
          <w:rFonts w:ascii="Arial" w:cs="Arial" w:eastAsia="Arial" w:hAnsi="Arial"/>
          <w:sz w:val="12"/>
          <w:szCs w:val="12"/>
          <w:color w:val="auto"/>
        </w:rPr>
        <w:t>Input from the Compensation Committee's independent compensation consultant; and</w:t>
      </w:r>
    </w:p>
    <w:p>
      <w:pPr>
        <w:spacing w:after="0" w:line="135" w:lineRule="exact"/>
        <w:rPr>
          <w:rFonts w:ascii="Arial" w:cs="Arial" w:eastAsia="Arial" w:hAnsi="Arial"/>
          <w:sz w:val="12"/>
          <w:szCs w:val="12"/>
          <w:color w:val="auto"/>
        </w:rPr>
      </w:pPr>
    </w:p>
    <w:p>
      <w:pPr>
        <w:ind w:left="1460" w:hanging="373"/>
        <w:spacing w:after="0"/>
        <w:tabs>
          <w:tab w:leader="none" w:pos="1460" w:val="left"/>
        </w:tabs>
        <w:numPr>
          <w:ilvl w:val="1"/>
          <w:numId w:val="36"/>
        </w:numPr>
        <w:rPr>
          <w:rFonts w:ascii="Arial" w:cs="Arial" w:eastAsia="Arial" w:hAnsi="Arial"/>
          <w:sz w:val="12"/>
          <w:szCs w:val="12"/>
          <w:color w:val="auto"/>
        </w:rPr>
      </w:pPr>
      <w:r>
        <w:rPr>
          <w:rFonts w:ascii="Arial" w:cs="Arial" w:eastAsia="Arial" w:hAnsi="Arial"/>
          <w:sz w:val="12"/>
          <w:szCs w:val="12"/>
          <w:color w:val="auto"/>
        </w:rPr>
        <w:t>For the other NEOs, the CEO's recommendations.</w:t>
      </w:r>
    </w:p>
    <w:p>
      <w:pPr>
        <w:spacing w:after="0" w:line="281"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1"/>
          <w:szCs w:val="11"/>
          <w:color w:val="auto"/>
        </w:rPr>
        <w:t>Reviews and approves the grants and payouts of long-term incentive equity awards.</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With respect to the pool of long-term incentive equity awards, a number of factors are taken into account including but not limited to prior year grant size, growth in earnings and in employee headcount, the accounting expense, and the potential dilutive effects on stockholders. With respect to individual long-term incentive equity awards, the Compensation Committee considers individual performance, market data, including compensation for comparable positions at peer companies, and the strategic importance of the NEO's position to determine a dollar denominated long-term incentive equity value to be awarded to each NEO. The dollar value awarded by the Compensation Committee to each NEO is then converted into a specific number of units, based on the fair market value of AECOM common stock on the date of grant.</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Compensation and Organization Committee's Independent Compensation Consultant</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The Compensation Committee has the authority to retain the services of outside consultants to assist it in performing its responsibilities. The Compensation Committee engaged the services of the consulting firm Exequity LLP. During fiscal year 2020, the consultant provided data on the compensation and relative performance of compensation peer group companies as well as general industry data to the Compensation Committee, made presentations on regulatory and legislative matters affecting executive compensation, provided advice on the degree to which compensation arrangements are consistent with market practices, and consulted on other compensation matters as needed. Exequity LLP does not provide any services to the Company other than advising the Compensation Committee on compensation matters.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1" w:name="page72"/>
    <w:bookmarkEnd w:id="71"/>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The Compensation Committee has assessed the independence of Exequity LLP, considering the following six factors and other factors that it deemed relevant: (1) other services provided to the Company by Exequity LLP, (2) the amount of fees paid by the Company to Exequity LLP as a percentage of Exequity LLP's total revenue, (3) the policies or procedures maintained by Exequity LLP that are designed to prevent conflicts of interest, (4) any business or personal relationships between the individual employees of Exequity LLP involved in the engagement and a member of the Compensation Committee, (5) any AECOM stock owned by Exequity LLP's employees involved in the engagement and (6) any business or personal relationships between our executive officers and Exequity LLP or the employees of Exequity LLP involved in the engagement. Following such assessment, the Compensation Committee concluded that Exequity LLP is independent and that Exequity LLP's work raises no conflicts of interest.</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Assessing Competitive Practice</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As part of its due diligence when making compensation decisions, the Compensation Committee examines pay data for a group of comparable companies to stay current with market pay practices and trends and to understand the competitiveness of the Company's total compensation and its components of pay.</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Compensation peer group data is supplemented with broader market survey data from Aon Hewitt and Willis Towers Watson. The Compensation Committee uses the compensation peer group and market survey data for informational purposes. The Company does not target a specific percentile or make significant pay decisions based on market data alone. The Compensation Committee considers Company performance as well as the level of responsibility, experience and tenure of the individual and performance in the role.</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Fiscal Year 2020 Compensation Peer Group</w:t>
      </w:r>
    </w:p>
    <w:p>
      <w:pPr>
        <w:spacing w:after="0" w:line="147"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color w:val="auto"/>
        </w:rPr>
        <w:t>The Compensation Committee, when developing the compensation peer group, identified the Company's competitors for talent and considered other various measures of size, scope and complexity, with a focus on revenue and enterprise value.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60" w:type="dxa"/>
            <w:vAlign w:val="bottom"/>
            <w:tcBorders>
              <w:top w:val="single" w:sz="8" w:color="00B2E5"/>
              <w:bottom w:val="single" w:sz="8" w:color="00B2E5"/>
              <w:right w:val="single" w:sz="8" w:color="63C1DF"/>
            </w:tcBorders>
          </w:tcPr>
          <w:p>
            <w:pPr>
              <w:jc w:val="center"/>
              <w:spacing w:after="0"/>
              <w:rPr>
                <w:sz w:val="20"/>
                <w:szCs w:val="20"/>
                <w:color w:val="auto"/>
              </w:rPr>
            </w:pPr>
            <w:r>
              <w:rPr>
                <w:rFonts w:ascii="Arial" w:cs="Arial" w:eastAsia="Arial" w:hAnsi="Arial"/>
                <w:sz w:val="12"/>
                <w:szCs w:val="12"/>
                <w:color w:val="auto"/>
                <w:w w:val="97"/>
              </w:rPr>
              <w:t>Cognizant Technology Solutions</w:t>
            </w:r>
          </w:p>
        </w:tc>
        <w:tc>
          <w:tcPr>
            <w:tcW w:w="3680" w:type="dxa"/>
            <w:vAlign w:val="bottom"/>
            <w:tcBorders>
              <w:top w:val="single" w:sz="8" w:color="00B2E5"/>
              <w:bottom w:val="single" w:sz="8" w:color="00B2E5"/>
              <w:right w:val="single" w:sz="8" w:color="63C1DF"/>
            </w:tcBorders>
          </w:tcPr>
          <w:p>
            <w:pPr>
              <w:jc w:val="center"/>
              <w:ind w:right="41"/>
              <w:spacing w:after="0"/>
              <w:rPr>
                <w:sz w:val="20"/>
                <w:szCs w:val="20"/>
                <w:color w:val="auto"/>
              </w:rPr>
            </w:pPr>
            <w:r>
              <w:rPr>
                <w:rFonts w:ascii="Arial" w:cs="Arial" w:eastAsia="Arial" w:hAnsi="Arial"/>
                <w:sz w:val="12"/>
                <w:szCs w:val="12"/>
                <w:color w:val="auto"/>
                <w:w w:val="96"/>
              </w:rPr>
              <w:t>Illinois Tool Works</w:t>
            </w:r>
          </w:p>
        </w:tc>
        <w:tc>
          <w:tcPr>
            <w:tcW w:w="3660" w:type="dxa"/>
            <w:vAlign w:val="bottom"/>
            <w:tcBorders>
              <w:top w:val="single" w:sz="8" w:color="00B2E5"/>
              <w:bottom w:val="single" w:sz="8" w:color="00B2E5"/>
            </w:tcBorders>
          </w:tcPr>
          <w:p>
            <w:pPr>
              <w:jc w:val="center"/>
              <w:ind w:right="41"/>
              <w:spacing w:after="0"/>
              <w:rPr>
                <w:sz w:val="20"/>
                <w:szCs w:val="20"/>
                <w:color w:val="auto"/>
              </w:rPr>
            </w:pPr>
            <w:r>
              <w:rPr>
                <w:rFonts w:ascii="Arial" w:cs="Arial" w:eastAsia="Arial" w:hAnsi="Arial"/>
                <w:sz w:val="12"/>
                <w:szCs w:val="12"/>
                <w:color w:val="auto"/>
                <w:w w:val="95"/>
              </w:rPr>
              <w:t>PACCAR</w:t>
            </w:r>
          </w:p>
        </w:tc>
      </w:tr>
      <w:tr>
        <w:trPr>
          <w:trHeight w:val="126"/>
        </w:trPr>
        <w:tc>
          <w:tcPr>
            <w:tcW w:w="3960" w:type="dxa"/>
            <w:vAlign w:val="bottom"/>
            <w:tcBorders>
              <w:bottom w:val="single" w:sz="8" w:color="00B2E5"/>
              <w:right w:val="single" w:sz="8" w:color="63C1DF"/>
            </w:tcBorders>
          </w:tcPr>
          <w:p>
            <w:pPr>
              <w:jc w:val="center"/>
              <w:spacing w:after="0" w:line="126" w:lineRule="exact"/>
              <w:rPr>
                <w:sz w:val="20"/>
                <w:szCs w:val="20"/>
                <w:color w:val="auto"/>
              </w:rPr>
            </w:pPr>
            <w:r>
              <w:rPr>
                <w:rFonts w:ascii="Arial" w:cs="Arial" w:eastAsia="Arial" w:hAnsi="Arial"/>
                <w:sz w:val="12"/>
                <w:szCs w:val="12"/>
                <w:color w:val="auto"/>
                <w:w w:val="98"/>
              </w:rPr>
              <w:t>Cummins</w:t>
            </w:r>
          </w:p>
        </w:tc>
        <w:tc>
          <w:tcPr>
            <w:tcW w:w="3680" w:type="dxa"/>
            <w:vAlign w:val="bottom"/>
            <w:tcBorders>
              <w:bottom w:val="single" w:sz="8" w:color="00B2E5"/>
              <w:right w:val="single" w:sz="8" w:color="63C1DF"/>
            </w:tcBorders>
          </w:tcPr>
          <w:p>
            <w:pPr>
              <w:jc w:val="center"/>
              <w:ind w:right="61"/>
              <w:spacing w:after="0" w:line="126" w:lineRule="exact"/>
              <w:rPr>
                <w:sz w:val="20"/>
                <w:szCs w:val="20"/>
                <w:color w:val="auto"/>
              </w:rPr>
            </w:pPr>
            <w:r>
              <w:rPr>
                <w:rFonts w:ascii="Arial" w:cs="Arial" w:eastAsia="Arial" w:hAnsi="Arial"/>
                <w:sz w:val="12"/>
                <w:szCs w:val="12"/>
                <w:color w:val="auto"/>
                <w:w w:val="98"/>
              </w:rPr>
              <w:t>Jacobs Engineering Group</w:t>
            </w:r>
          </w:p>
        </w:tc>
        <w:tc>
          <w:tcPr>
            <w:tcW w:w="3660" w:type="dxa"/>
            <w:vAlign w:val="bottom"/>
            <w:tcBorders>
              <w:bottom w:val="single" w:sz="8" w:color="00B2E5"/>
            </w:tcBorders>
          </w:tcPr>
          <w:p>
            <w:pPr>
              <w:jc w:val="center"/>
              <w:ind w:right="61"/>
              <w:spacing w:after="0" w:line="126" w:lineRule="exact"/>
              <w:rPr>
                <w:sz w:val="20"/>
                <w:szCs w:val="20"/>
                <w:color w:val="auto"/>
              </w:rPr>
            </w:pPr>
            <w:r>
              <w:rPr>
                <w:rFonts w:ascii="Arial" w:cs="Arial" w:eastAsia="Arial" w:hAnsi="Arial"/>
                <w:sz w:val="12"/>
                <w:szCs w:val="12"/>
                <w:color w:val="auto"/>
                <w:w w:val="98"/>
              </w:rPr>
              <w:t>Parker-Hannifin</w:t>
            </w:r>
          </w:p>
        </w:tc>
      </w:tr>
      <w:tr>
        <w:trPr>
          <w:trHeight w:val="126"/>
        </w:trPr>
        <w:tc>
          <w:tcPr>
            <w:tcW w:w="3960" w:type="dxa"/>
            <w:vAlign w:val="bottom"/>
            <w:tcBorders>
              <w:bottom w:val="single" w:sz="8" w:color="00B2E5"/>
              <w:right w:val="single" w:sz="8" w:color="63C1DF"/>
            </w:tcBorders>
          </w:tcPr>
          <w:p>
            <w:pPr>
              <w:jc w:val="center"/>
              <w:spacing w:after="0" w:line="126" w:lineRule="exact"/>
              <w:rPr>
                <w:sz w:val="20"/>
                <w:szCs w:val="20"/>
                <w:color w:val="auto"/>
              </w:rPr>
            </w:pPr>
            <w:r>
              <w:rPr>
                <w:rFonts w:ascii="Arial" w:cs="Arial" w:eastAsia="Arial" w:hAnsi="Arial"/>
                <w:sz w:val="12"/>
                <w:szCs w:val="12"/>
                <w:color w:val="auto"/>
                <w:w w:val="96"/>
              </w:rPr>
              <w:t>DXC Technology</w:t>
            </w:r>
          </w:p>
        </w:tc>
        <w:tc>
          <w:tcPr>
            <w:tcW w:w="3680" w:type="dxa"/>
            <w:vAlign w:val="bottom"/>
            <w:tcBorders>
              <w:bottom w:val="single" w:sz="8" w:color="00B2E5"/>
              <w:right w:val="single" w:sz="8" w:color="63C1DF"/>
            </w:tcBorders>
          </w:tcPr>
          <w:p>
            <w:pPr>
              <w:jc w:val="center"/>
              <w:ind w:right="61"/>
              <w:spacing w:after="0" w:line="126" w:lineRule="exact"/>
              <w:rPr>
                <w:sz w:val="20"/>
                <w:szCs w:val="20"/>
                <w:color w:val="auto"/>
              </w:rPr>
            </w:pPr>
            <w:r>
              <w:rPr>
                <w:rFonts w:ascii="Arial" w:cs="Arial" w:eastAsia="Arial" w:hAnsi="Arial"/>
                <w:sz w:val="12"/>
                <w:szCs w:val="12"/>
                <w:color w:val="auto"/>
                <w:w w:val="97"/>
              </w:rPr>
              <w:t>KBR</w:t>
            </w:r>
          </w:p>
        </w:tc>
        <w:tc>
          <w:tcPr>
            <w:tcW w:w="3660" w:type="dxa"/>
            <w:vAlign w:val="bottom"/>
            <w:tcBorders>
              <w:bottom w:val="single" w:sz="8" w:color="00B2E5"/>
            </w:tcBorders>
          </w:tcPr>
          <w:p>
            <w:pPr>
              <w:jc w:val="center"/>
              <w:ind w:right="41"/>
              <w:spacing w:after="0" w:line="126" w:lineRule="exact"/>
              <w:rPr>
                <w:sz w:val="20"/>
                <w:szCs w:val="20"/>
                <w:color w:val="auto"/>
              </w:rPr>
            </w:pPr>
            <w:r>
              <w:rPr>
                <w:rFonts w:ascii="Arial" w:cs="Arial" w:eastAsia="Arial" w:hAnsi="Arial"/>
                <w:sz w:val="12"/>
                <w:szCs w:val="12"/>
                <w:color w:val="auto"/>
                <w:w w:val="99"/>
              </w:rPr>
              <w:t>Quanta Services</w:t>
            </w:r>
          </w:p>
        </w:tc>
      </w:tr>
      <w:tr>
        <w:trPr>
          <w:trHeight w:val="126"/>
        </w:trPr>
        <w:tc>
          <w:tcPr>
            <w:tcW w:w="3960" w:type="dxa"/>
            <w:vAlign w:val="bottom"/>
            <w:tcBorders>
              <w:bottom w:val="single" w:sz="8" w:color="00B2E5"/>
              <w:right w:val="single" w:sz="8" w:color="63C1DF"/>
            </w:tcBorders>
          </w:tcPr>
          <w:p>
            <w:pPr>
              <w:jc w:val="center"/>
              <w:spacing w:after="0" w:line="126" w:lineRule="exact"/>
              <w:rPr>
                <w:sz w:val="20"/>
                <w:szCs w:val="20"/>
                <w:color w:val="auto"/>
              </w:rPr>
            </w:pPr>
            <w:r>
              <w:rPr>
                <w:rFonts w:ascii="Arial" w:cs="Arial" w:eastAsia="Arial" w:hAnsi="Arial"/>
                <w:sz w:val="12"/>
                <w:szCs w:val="12"/>
                <w:color w:val="auto"/>
                <w:w w:val="98"/>
              </w:rPr>
              <w:t>EMCOR Group</w:t>
            </w:r>
          </w:p>
        </w:tc>
        <w:tc>
          <w:tcPr>
            <w:tcW w:w="3680" w:type="dxa"/>
            <w:vAlign w:val="bottom"/>
            <w:tcBorders>
              <w:bottom w:val="single" w:sz="8" w:color="00B2E5"/>
              <w:right w:val="single" w:sz="8" w:color="63C1DF"/>
            </w:tcBorders>
          </w:tcPr>
          <w:p>
            <w:pPr>
              <w:jc w:val="center"/>
              <w:ind w:right="61"/>
              <w:spacing w:after="0" w:line="126" w:lineRule="exact"/>
              <w:rPr>
                <w:sz w:val="20"/>
                <w:szCs w:val="20"/>
                <w:color w:val="auto"/>
              </w:rPr>
            </w:pPr>
            <w:r>
              <w:rPr>
                <w:rFonts w:ascii="Arial" w:cs="Arial" w:eastAsia="Arial" w:hAnsi="Arial"/>
                <w:sz w:val="12"/>
                <w:szCs w:val="12"/>
                <w:color w:val="auto"/>
                <w:w w:val="98"/>
              </w:rPr>
              <w:t>Leidos Holdings</w:t>
            </w:r>
          </w:p>
        </w:tc>
        <w:tc>
          <w:tcPr>
            <w:tcW w:w="3660" w:type="dxa"/>
            <w:vAlign w:val="bottom"/>
            <w:tcBorders>
              <w:bottom w:val="single" w:sz="8" w:color="00B2E5"/>
            </w:tcBorders>
          </w:tcPr>
          <w:p>
            <w:pPr>
              <w:jc w:val="center"/>
              <w:ind w:right="41"/>
              <w:spacing w:after="0" w:line="126" w:lineRule="exact"/>
              <w:rPr>
                <w:sz w:val="20"/>
                <w:szCs w:val="20"/>
                <w:color w:val="auto"/>
              </w:rPr>
            </w:pPr>
            <w:r>
              <w:rPr>
                <w:rFonts w:ascii="Arial" w:cs="Arial" w:eastAsia="Arial" w:hAnsi="Arial"/>
                <w:sz w:val="12"/>
                <w:szCs w:val="12"/>
                <w:color w:val="auto"/>
                <w:w w:val="98"/>
              </w:rPr>
              <w:t>Textron</w:t>
            </w:r>
          </w:p>
        </w:tc>
      </w:tr>
      <w:tr>
        <w:trPr>
          <w:trHeight w:val="126"/>
        </w:trPr>
        <w:tc>
          <w:tcPr>
            <w:tcW w:w="3960" w:type="dxa"/>
            <w:vAlign w:val="bottom"/>
            <w:tcBorders>
              <w:bottom w:val="single" w:sz="8" w:color="00B2E5"/>
              <w:right w:val="single" w:sz="8" w:color="63C1DF"/>
            </w:tcBorders>
          </w:tcPr>
          <w:p>
            <w:pPr>
              <w:jc w:val="center"/>
              <w:spacing w:after="0" w:line="126" w:lineRule="exact"/>
              <w:rPr>
                <w:sz w:val="20"/>
                <w:szCs w:val="20"/>
                <w:color w:val="auto"/>
              </w:rPr>
            </w:pPr>
            <w:r>
              <w:rPr>
                <w:rFonts w:ascii="Arial" w:cs="Arial" w:eastAsia="Arial" w:hAnsi="Arial"/>
                <w:sz w:val="12"/>
                <w:szCs w:val="12"/>
                <w:color w:val="auto"/>
              </w:rPr>
              <w:t>Fluor</w:t>
            </w:r>
          </w:p>
        </w:tc>
        <w:tc>
          <w:tcPr>
            <w:tcW w:w="3680" w:type="dxa"/>
            <w:vAlign w:val="bottom"/>
            <w:tcBorders>
              <w:bottom w:val="single" w:sz="8" w:color="00B2E5"/>
              <w:right w:val="single" w:sz="8" w:color="63C1DF"/>
            </w:tcBorders>
          </w:tcPr>
          <w:p>
            <w:pPr>
              <w:jc w:val="center"/>
              <w:ind w:right="61"/>
              <w:spacing w:after="0" w:line="126" w:lineRule="exact"/>
              <w:rPr>
                <w:sz w:val="20"/>
                <w:szCs w:val="20"/>
                <w:color w:val="auto"/>
              </w:rPr>
            </w:pPr>
            <w:r>
              <w:rPr>
                <w:rFonts w:ascii="Arial" w:cs="Arial" w:eastAsia="Arial" w:hAnsi="Arial"/>
                <w:sz w:val="12"/>
                <w:szCs w:val="12"/>
                <w:color w:val="auto"/>
                <w:w w:val="93"/>
              </w:rPr>
              <w:t>MasTec</w:t>
            </w:r>
          </w:p>
        </w:tc>
        <w:tc>
          <w:tcPr>
            <w:tcW w:w="3660" w:type="dxa"/>
            <w:vAlign w:val="bottom"/>
            <w:tcBorders>
              <w:bottom w:val="single" w:sz="8" w:color="00B2E5"/>
            </w:tcBorders>
          </w:tcPr>
          <w:p>
            <w:pPr>
              <w:jc w:val="center"/>
              <w:ind w:right="41"/>
              <w:spacing w:after="0" w:line="126" w:lineRule="exact"/>
              <w:rPr>
                <w:sz w:val="20"/>
                <w:szCs w:val="20"/>
                <w:color w:val="auto"/>
              </w:rPr>
            </w:pPr>
            <w:r>
              <w:rPr>
                <w:rFonts w:ascii="Arial" w:cs="Arial" w:eastAsia="Arial" w:hAnsi="Arial"/>
                <w:sz w:val="12"/>
                <w:szCs w:val="12"/>
                <w:color w:val="auto"/>
              </w:rPr>
              <w:t>Xerox</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Fiscal Year 2021 Compensation Peer Group</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For Fiscal Year 2021, following the sale of the Management Services business and expected sales of the Company's at-risk construction businesses, the Compensation Committee further refined the Company's compensation peer group to better align with our on-going transformation into a Professional Services business in addition to considering the other factors listed above with Net Service Revenue being a new measure included in the analysis: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60" w:type="dxa"/>
            <w:vAlign w:val="bottom"/>
            <w:tcBorders>
              <w:top w:val="single" w:sz="8" w:color="00B2E5"/>
              <w:bottom w:val="single" w:sz="8" w:color="00B2E5"/>
              <w:right w:val="single" w:sz="8" w:color="63C1DF"/>
            </w:tcBorders>
          </w:tcPr>
          <w:p>
            <w:pPr>
              <w:jc w:val="center"/>
              <w:spacing w:after="0"/>
              <w:rPr>
                <w:sz w:val="20"/>
                <w:szCs w:val="20"/>
                <w:color w:val="auto"/>
              </w:rPr>
            </w:pPr>
            <w:r>
              <w:rPr>
                <w:rFonts w:ascii="Arial" w:cs="Arial" w:eastAsia="Arial" w:hAnsi="Arial"/>
                <w:sz w:val="12"/>
                <w:szCs w:val="12"/>
                <w:b w:val="1"/>
                <w:bCs w:val="1"/>
                <w:color w:val="auto"/>
                <w:w w:val="98"/>
              </w:rPr>
              <w:t>Booz Allen Hamilton Corporation</w:t>
            </w:r>
          </w:p>
        </w:tc>
        <w:tc>
          <w:tcPr>
            <w:tcW w:w="3680" w:type="dxa"/>
            <w:vAlign w:val="bottom"/>
            <w:tcBorders>
              <w:top w:val="single" w:sz="8" w:color="00B2E5"/>
              <w:bottom w:val="single" w:sz="8" w:color="00B2E5"/>
              <w:right w:val="single" w:sz="8" w:color="63C1DF"/>
            </w:tcBorders>
          </w:tcPr>
          <w:p>
            <w:pPr>
              <w:jc w:val="center"/>
              <w:ind w:right="61"/>
              <w:spacing w:after="0"/>
              <w:rPr>
                <w:sz w:val="20"/>
                <w:szCs w:val="20"/>
                <w:color w:val="auto"/>
              </w:rPr>
            </w:pPr>
            <w:r>
              <w:rPr>
                <w:rFonts w:ascii="Arial" w:cs="Arial" w:eastAsia="Arial" w:hAnsi="Arial"/>
                <w:sz w:val="12"/>
                <w:szCs w:val="12"/>
                <w:color w:val="auto"/>
                <w:w w:val="98"/>
              </w:rPr>
              <w:t>Leidos Holdings</w:t>
            </w:r>
          </w:p>
        </w:tc>
        <w:tc>
          <w:tcPr>
            <w:tcW w:w="3660" w:type="dxa"/>
            <w:vAlign w:val="bottom"/>
            <w:tcBorders>
              <w:top w:val="single" w:sz="8" w:color="00B2E5"/>
              <w:bottom w:val="single" w:sz="8" w:color="00B2E5"/>
            </w:tcBorders>
          </w:tcPr>
          <w:p>
            <w:pPr>
              <w:jc w:val="center"/>
              <w:ind w:right="41"/>
              <w:spacing w:after="0"/>
              <w:rPr>
                <w:sz w:val="20"/>
                <w:szCs w:val="20"/>
                <w:color w:val="auto"/>
              </w:rPr>
            </w:pPr>
            <w:r>
              <w:rPr>
                <w:rFonts w:ascii="Arial" w:cs="Arial" w:eastAsia="Arial" w:hAnsi="Arial"/>
                <w:sz w:val="12"/>
                <w:szCs w:val="12"/>
                <w:b w:val="1"/>
                <w:bCs w:val="1"/>
                <w:color w:val="auto"/>
              </w:rPr>
              <w:t>Stantec</w:t>
            </w:r>
          </w:p>
        </w:tc>
      </w:tr>
      <w:tr>
        <w:trPr>
          <w:trHeight w:val="126"/>
        </w:trPr>
        <w:tc>
          <w:tcPr>
            <w:tcW w:w="3960" w:type="dxa"/>
            <w:vAlign w:val="bottom"/>
            <w:tcBorders>
              <w:bottom w:val="single" w:sz="8" w:color="00B2E5"/>
              <w:right w:val="single" w:sz="8" w:color="63C1DF"/>
            </w:tcBorders>
          </w:tcPr>
          <w:p>
            <w:pPr>
              <w:jc w:val="center"/>
              <w:spacing w:after="0" w:line="126" w:lineRule="exact"/>
              <w:rPr>
                <w:sz w:val="20"/>
                <w:szCs w:val="20"/>
                <w:color w:val="auto"/>
              </w:rPr>
            </w:pPr>
            <w:r>
              <w:rPr>
                <w:rFonts w:ascii="Arial" w:cs="Arial" w:eastAsia="Arial" w:hAnsi="Arial"/>
                <w:sz w:val="12"/>
                <w:szCs w:val="12"/>
                <w:color w:val="auto"/>
                <w:w w:val="98"/>
              </w:rPr>
              <w:t>EMCOR Group</w:t>
            </w:r>
          </w:p>
        </w:tc>
        <w:tc>
          <w:tcPr>
            <w:tcW w:w="3680" w:type="dxa"/>
            <w:vAlign w:val="bottom"/>
            <w:tcBorders>
              <w:bottom w:val="single" w:sz="8" w:color="00B2E5"/>
              <w:right w:val="single" w:sz="8" w:color="63C1DF"/>
            </w:tcBorders>
          </w:tcPr>
          <w:p>
            <w:pPr>
              <w:jc w:val="center"/>
              <w:ind w:right="61"/>
              <w:spacing w:after="0" w:line="126" w:lineRule="exact"/>
              <w:rPr>
                <w:sz w:val="20"/>
                <w:szCs w:val="20"/>
                <w:color w:val="auto"/>
              </w:rPr>
            </w:pPr>
            <w:r>
              <w:rPr>
                <w:rFonts w:ascii="Arial" w:cs="Arial" w:eastAsia="Arial" w:hAnsi="Arial"/>
                <w:sz w:val="12"/>
                <w:szCs w:val="12"/>
                <w:color w:val="auto"/>
                <w:w w:val="93"/>
              </w:rPr>
              <w:t>MasTec</w:t>
            </w:r>
          </w:p>
        </w:tc>
        <w:tc>
          <w:tcPr>
            <w:tcW w:w="3660" w:type="dxa"/>
            <w:vAlign w:val="bottom"/>
            <w:tcBorders>
              <w:bottom w:val="single" w:sz="8" w:color="00B2E5"/>
            </w:tcBorders>
          </w:tcPr>
          <w:p>
            <w:pPr>
              <w:jc w:val="center"/>
              <w:ind w:right="61"/>
              <w:spacing w:after="0" w:line="126" w:lineRule="exact"/>
              <w:rPr>
                <w:sz w:val="20"/>
                <w:szCs w:val="20"/>
                <w:color w:val="auto"/>
              </w:rPr>
            </w:pPr>
            <w:r>
              <w:rPr>
                <w:rFonts w:ascii="Arial" w:cs="Arial" w:eastAsia="Arial" w:hAnsi="Arial"/>
                <w:sz w:val="12"/>
                <w:szCs w:val="12"/>
                <w:b w:val="1"/>
                <w:bCs w:val="1"/>
                <w:color w:val="auto"/>
                <w:w w:val="95"/>
              </w:rPr>
              <w:t>Tetra Tech</w:t>
            </w:r>
          </w:p>
        </w:tc>
      </w:tr>
      <w:tr>
        <w:trPr>
          <w:trHeight w:val="126"/>
        </w:trPr>
        <w:tc>
          <w:tcPr>
            <w:tcW w:w="3960" w:type="dxa"/>
            <w:vAlign w:val="bottom"/>
            <w:tcBorders>
              <w:bottom w:val="single" w:sz="8" w:color="00B2E5"/>
              <w:right w:val="single" w:sz="8" w:color="63C1DF"/>
            </w:tcBorders>
          </w:tcPr>
          <w:p>
            <w:pPr>
              <w:jc w:val="center"/>
              <w:spacing w:after="0" w:line="126" w:lineRule="exact"/>
              <w:rPr>
                <w:sz w:val="20"/>
                <w:szCs w:val="20"/>
                <w:color w:val="auto"/>
              </w:rPr>
            </w:pPr>
            <w:r>
              <w:rPr>
                <w:rFonts w:ascii="Arial" w:cs="Arial" w:eastAsia="Arial" w:hAnsi="Arial"/>
                <w:sz w:val="12"/>
                <w:szCs w:val="12"/>
                <w:color w:val="auto"/>
              </w:rPr>
              <w:t>Fluor</w:t>
            </w:r>
          </w:p>
        </w:tc>
        <w:tc>
          <w:tcPr>
            <w:tcW w:w="3680" w:type="dxa"/>
            <w:vAlign w:val="bottom"/>
            <w:tcBorders>
              <w:bottom w:val="single" w:sz="8" w:color="00B2E5"/>
              <w:right w:val="single" w:sz="8" w:color="63C1DF"/>
            </w:tcBorders>
          </w:tcPr>
          <w:p>
            <w:pPr>
              <w:jc w:val="center"/>
              <w:ind w:right="41"/>
              <w:spacing w:after="0" w:line="126" w:lineRule="exact"/>
              <w:rPr>
                <w:sz w:val="20"/>
                <w:szCs w:val="20"/>
                <w:color w:val="auto"/>
              </w:rPr>
            </w:pPr>
            <w:r>
              <w:rPr>
                <w:rFonts w:ascii="Arial" w:cs="Arial" w:eastAsia="Arial" w:hAnsi="Arial"/>
                <w:sz w:val="12"/>
                <w:szCs w:val="12"/>
                <w:b w:val="1"/>
                <w:bCs w:val="1"/>
                <w:color w:val="auto"/>
                <w:w w:val="97"/>
              </w:rPr>
              <w:t>Parsons</w:t>
            </w:r>
          </w:p>
        </w:tc>
        <w:tc>
          <w:tcPr>
            <w:tcW w:w="3660" w:type="dxa"/>
            <w:vAlign w:val="bottom"/>
            <w:tcBorders>
              <w:bottom w:val="single" w:sz="8" w:color="00B2E5"/>
            </w:tcBorders>
          </w:tcPr>
          <w:p>
            <w:pPr>
              <w:jc w:val="center"/>
              <w:ind w:right="61"/>
              <w:spacing w:after="0" w:line="126" w:lineRule="exact"/>
              <w:rPr>
                <w:sz w:val="20"/>
                <w:szCs w:val="20"/>
                <w:color w:val="auto"/>
              </w:rPr>
            </w:pPr>
            <w:r>
              <w:rPr>
                <w:rFonts w:ascii="Arial" w:cs="Arial" w:eastAsia="Arial" w:hAnsi="Arial"/>
                <w:sz w:val="12"/>
                <w:szCs w:val="12"/>
                <w:b w:val="1"/>
                <w:bCs w:val="1"/>
                <w:color w:val="auto"/>
                <w:w w:val="97"/>
              </w:rPr>
              <w:t>Tutor Perini</w:t>
            </w:r>
          </w:p>
        </w:tc>
      </w:tr>
      <w:tr>
        <w:trPr>
          <w:trHeight w:val="126"/>
        </w:trPr>
        <w:tc>
          <w:tcPr>
            <w:tcW w:w="3960" w:type="dxa"/>
            <w:vAlign w:val="bottom"/>
            <w:tcBorders>
              <w:bottom w:val="single" w:sz="8" w:color="00B2E5"/>
              <w:right w:val="single" w:sz="8" w:color="63C1DF"/>
            </w:tcBorders>
          </w:tcPr>
          <w:p>
            <w:pPr>
              <w:jc w:val="center"/>
              <w:spacing w:after="0" w:line="126" w:lineRule="exact"/>
              <w:rPr>
                <w:sz w:val="20"/>
                <w:szCs w:val="20"/>
                <w:color w:val="auto"/>
              </w:rPr>
            </w:pPr>
            <w:r>
              <w:rPr>
                <w:rFonts w:ascii="Arial" w:cs="Arial" w:eastAsia="Arial" w:hAnsi="Arial"/>
                <w:sz w:val="12"/>
                <w:szCs w:val="12"/>
                <w:color w:val="auto"/>
                <w:w w:val="98"/>
              </w:rPr>
              <w:t>Jacobs Engineering Group</w:t>
            </w:r>
          </w:p>
        </w:tc>
        <w:tc>
          <w:tcPr>
            <w:tcW w:w="3680" w:type="dxa"/>
            <w:vAlign w:val="bottom"/>
            <w:tcBorders>
              <w:bottom w:val="single" w:sz="8" w:color="00B2E5"/>
              <w:right w:val="single" w:sz="8" w:color="63C1DF"/>
            </w:tcBorders>
          </w:tcPr>
          <w:p>
            <w:pPr>
              <w:jc w:val="center"/>
              <w:ind w:right="61"/>
              <w:spacing w:after="0" w:line="126" w:lineRule="exact"/>
              <w:rPr>
                <w:sz w:val="20"/>
                <w:szCs w:val="20"/>
                <w:color w:val="auto"/>
              </w:rPr>
            </w:pPr>
            <w:r>
              <w:rPr>
                <w:rFonts w:ascii="Arial" w:cs="Arial" w:eastAsia="Arial" w:hAnsi="Arial"/>
                <w:sz w:val="12"/>
                <w:szCs w:val="12"/>
                <w:color w:val="auto"/>
                <w:w w:val="99"/>
              </w:rPr>
              <w:t>Quanta Services</w:t>
            </w:r>
          </w:p>
        </w:tc>
        <w:tc>
          <w:tcPr>
            <w:tcW w:w="3660" w:type="dxa"/>
            <w:vAlign w:val="bottom"/>
            <w:tcBorders>
              <w:bottom w:val="single" w:sz="8" w:color="00B2E5"/>
            </w:tcBorders>
          </w:tcPr>
          <w:p>
            <w:pPr>
              <w:jc w:val="center"/>
              <w:ind w:right="41"/>
              <w:spacing w:after="0" w:line="126" w:lineRule="exact"/>
              <w:rPr>
                <w:sz w:val="20"/>
                <w:szCs w:val="20"/>
                <w:color w:val="auto"/>
              </w:rPr>
            </w:pPr>
            <w:r>
              <w:rPr>
                <w:rFonts w:ascii="Arial" w:cs="Arial" w:eastAsia="Arial" w:hAnsi="Arial"/>
                <w:sz w:val="12"/>
                <w:szCs w:val="12"/>
                <w:b w:val="1"/>
                <w:bCs w:val="1"/>
                <w:color w:val="auto"/>
                <w:w w:val="99"/>
              </w:rPr>
              <w:t>WSP Global</w:t>
            </w:r>
          </w:p>
        </w:tc>
      </w:tr>
      <w:tr>
        <w:trPr>
          <w:trHeight w:val="126"/>
        </w:trPr>
        <w:tc>
          <w:tcPr>
            <w:tcW w:w="3960" w:type="dxa"/>
            <w:vAlign w:val="bottom"/>
            <w:tcBorders>
              <w:bottom w:val="single" w:sz="8" w:color="00B2E5"/>
              <w:right w:val="single" w:sz="8" w:color="63C1DF"/>
            </w:tcBorders>
          </w:tcPr>
          <w:p>
            <w:pPr>
              <w:jc w:val="center"/>
              <w:spacing w:after="0" w:line="126" w:lineRule="exact"/>
              <w:rPr>
                <w:sz w:val="20"/>
                <w:szCs w:val="20"/>
                <w:color w:val="auto"/>
              </w:rPr>
            </w:pPr>
            <w:r>
              <w:rPr>
                <w:rFonts w:ascii="Arial" w:cs="Arial" w:eastAsia="Arial" w:hAnsi="Arial"/>
                <w:sz w:val="12"/>
                <w:szCs w:val="12"/>
                <w:color w:val="auto"/>
                <w:w w:val="97"/>
              </w:rPr>
              <w:t>KBR</w:t>
            </w:r>
          </w:p>
        </w:tc>
        <w:tc>
          <w:tcPr>
            <w:tcW w:w="3680" w:type="dxa"/>
            <w:vAlign w:val="bottom"/>
            <w:tcBorders>
              <w:bottom w:val="single" w:sz="8" w:color="00B2E5"/>
              <w:right w:val="single" w:sz="8" w:color="63C1DF"/>
            </w:tcBorders>
          </w:tcPr>
          <w:p>
            <w:pPr>
              <w:jc w:val="center"/>
              <w:ind w:right="61"/>
              <w:spacing w:after="0" w:line="126" w:lineRule="exact"/>
              <w:rPr>
                <w:sz w:val="20"/>
                <w:szCs w:val="20"/>
                <w:color w:val="auto"/>
              </w:rPr>
            </w:pPr>
            <w:r>
              <w:rPr>
                <w:rFonts w:ascii="Arial" w:cs="Arial" w:eastAsia="Arial" w:hAnsi="Arial"/>
                <w:sz w:val="12"/>
                <w:szCs w:val="12"/>
                <w:b w:val="1"/>
                <w:bCs w:val="1"/>
                <w:color w:val="auto"/>
                <w:w w:val="98"/>
              </w:rPr>
              <w:t>SNC-Lavalin Group</w:t>
            </w:r>
          </w:p>
        </w:tc>
        <w:tc>
          <w:tcPr>
            <w:tcW w:w="3660" w:type="dxa"/>
            <w:vAlign w:val="bottom"/>
            <w:tcBorders>
              <w:bottom w:val="single" w:sz="8" w:color="00B2E5"/>
            </w:tcBorders>
          </w:tcPr>
          <w:p>
            <w:pPr>
              <w:spacing w:after="0"/>
              <w:rPr>
                <w:sz w:val="10"/>
                <w:szCs w:val="10"/>
                <w:color w:val="auto"/>
              </w:rPr>
            </w:pPr>
          </w:p>
        </w:tc>
      </w:tr>
      <w:tr>
        <w:trPr>
          <w:trHeight w:val="291"/>
        </w:trPr>
        <w:tc>
          <w:tcPr>
            <w:tcW w:w="3960" w:type="dxa"/>
            <w:vAlign w:val="bottom"/>
          </w:tcPr>
          <w:p>
            <w:pPr>
              <w:spacing w:after="0"/>
              <w:rPr>
                <w:sz w:val="24"/>
                <w:szCs w:val="24"/>
                <w:color w:val="auto"/>
              </w:rPr>
            </w:pPr>
          </w:p>
        </w:tc>
        <w:tc>
          <w:tcPr>
            <w:tcW w:w="3680" w:type="dxa"/>
            <w:vAlign w:val="bottom"/>
          </w:tcPr>
          <w:p>
            <w:pPr>
              <w:jc w:val="right"/>
              <w:ind w:right="1881"/>
              <w:spacing w:after="0"/>
              <w:rPr>
                <w:sz w:val="20"/>
                <w:szCs w:val="20"/>
                <w:color w:val="auto"/>
              </w:rPr>
            </w:pPr>
            <w:r>
              <w:rPr>
                <w:rFonts w:ascii="Arial" w:cs="Arial" w:eastAsia="Arial" w:hAnsi="Arial"/>
                <w:sz w:val="12"/>
                <w:szCs w:val="12"/>
                <w:color w:val="auto"/>
              </w:rPr>
              <w:t>48</w:t>
            </w:r>
          </w:p>
        </w:tc>
        <w:tc>
          <w:tcPr>
            <w:tcW w:w="3660" w:type="dxa"/>
            <w:vAlign w:val="bottom"/>
          </w:tcPr>
          <w:p>
            <w:pPr>
              <w:spacing w:after="0"/>
              <w:rPr>
                <w:sz w:val="24"/>
                <w:szCs w:val="24"/>
                <w:color w:val="auto"/>
              </w:rPr>
            </w:pPr>
          </w:p>
        </w:tc>
      </w:tr>
      <w:tr>
        <w:trPr>
          <w:trHeight w:val="139"/>
        </w:trPr>
        <w:tc>
          <w:tcPr>
            <w:tcW w:w="3960" w:type="dxa"/>
            <w:vAlign w:val="bottom"/>
            <w:tcBorders>
              <w:bottom w:val="single" w:sz="8" w:color="808080"/>
            </w:tcBorders>
          </w:tcPr>
          <w:p>
            <w:pPr>
              <w:spacing w:after="0"/>
              <w:rPr>
                <w:sz w:val="12"/>
                <w:szCs w:val="12"/>
                <w:color w:val="auto"/>
              </w:rPr>
            </w:pPr>
          </w:p>
        </w:tc>
        <w:tc>
          <w:tcPr>
            <w:tcW w:w="3680" w:type="dxa"/>
            <w:vAlign w:val="bottom"/>
            <w:tcBorders>
              <w:bottom w:val="single" w:sz="8" w:color="808080"/>
            </w:tcBorders>
          </w:tcPr>
          <w:p>
            <w:pPr>
              <w:spacing w:after="0"/>
              <w:rPr>
                <w:sz w:val="12"/>
                <w:szCs w:val="12"/>
                <w:color w:val="auto"/>
              </w:rPr>
            </w:pPr>
          </w:p>
        </w:tc>
        <w:tc>
          <w:tcPr>
            <w:tcW w:w="36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7163435</wp:posOffset>
            </wp:positionH>
            <wp:positionV relativeFrom="paragraph">
              <wp:posOffset>-11430</wp:posOffset>
            </wp:positionV>
            <wp:extent cx="1270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2" w:name="page73"/>
    <w:bookmarkEnd w:id="72"/>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Elements of our Named Executive Officer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discussion of the primary elements of Fiscal Year 2020 compensation for each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76770" cy="114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Our Compensation Committee adjusts base salaries in connection with its periodic review of the NEOs' performances, any change in responsibilities, and competitive talent market conditions. The following sets forth the fiscal year 2020 base salary increases for each NEO:</w:t>
      </w:r>
    </w:p>
    <w:p>
      <w:pPr>
        <w:spacing w:after="0" w:line="101" w:lineRule="exact"/>
        <w:rPr>
          <w:sz w:val="20"/>
          <w:szCs w:val="20"/>
          <w:color w:val="auto"/>
        </w:rPr>
      </w:pPr>
    </w:p>
    <w:tbl>
      <w:tblPr>
        <w:tblLayout w:type="fixed"/>
        <w:tblInd w:w="13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Pr>
          <w:p>
            <w:pPr>
              <w:ind w:left="360"/>
              <w:spacing w:after="0"/>
              <w:rPr>
                <w:sz w:val="20"/>
                <w:szCs w:val="20"/>
                <w:color w:val="auto"/>
              </w:rPr>
            </w:pPr>
            <w:r>
              <w:rPr>
                <w:rFonts w:ascii="Arial" w:cs="Arial" w:eastAsia="Arial" w:hAnsi="Arial"/>
                <w:sz w:val="12"/>
                <w:szCs w:val="12"/>
                <w:b w:val="1"/>
                <w:bCs w:val="1"/>
                <w:color w:val="auto"/>
              </w:rPr>
              <w:t>January</w:t>
            </w:r>
          </w:p>
        </w:tc>
        <w:tc>
          <w:tcPr>
            <w:tcW w:w="1300" w:type="dxa"/>
            <w:vAlign w:val="bottom"/>
          </w:tcPr>
          <w:p>
            <w:pPr>
              <w:spacing w:after="0"/>
              <w:rPr>
                <w:sz w:val="12"/>
                <w:szCs w:val="12"/>
                <w:color w:val="auto"/>
              </w:rPr>
            </w:pPr>
          </w:p>
        </w:tc>
        <w:tc>
          <w:tcPr>
            <w:tcW w:w="1320" w:type="dxa"/>
            <w:vAlign w:val="bottom"/>
          </w:tcPr>
          <w:p>
            <w:pPr>
              <w:ind w:left="380"/>
              <w:spacing w:after="0"/>
              <w:rPr>
                <w:sz w:val="20"/>
                <w:szCs w:val="20"/>
                <w:color w:val="auto"/>
              </w:rPr>
            </w:pPr>
            <w:r>
              <w:rPr>
                <w:rFonts w:ascii="Arial" w:cs="Arial" w:eastAsia="Arial" w:hAnsi="Arial"/>
                <w:sz w:val="12"/>
                <w:szCs w:val="12"/>
                <w:b w:val="1"/>
                <w:bCs w:val="1"/>
                <w:color w:val="auto"/>
              </w:rPr>
              <w:t>August</w:t>
            </w:r>
          </w:p>
        </w:tc>
        <w:tc>
          <w:tcPr>
            <w:tcW w:w="1180" w:type="dxa"/>
            <w:vAlign w:val="bottom"/>
          </w:tcPr>
          <w:p>
            <w:pPr>
              <w:spacing w:after="0"/>
              <w:rPr>
                <w:sz w:val="12"/>
                <w:szCs w:val="12"/>
                <w:color w:val="auto"/>
              </w:rPr>
            </w:pPr>
          </w:p>
        </w:tc>
      </w:tr>
      <w:tr>
        <w:trPr>
          <w:trHeight w:val="151"/>
        </w:trPr>
        <w:tc>
          <w:tcPr>
            <w:tcW w:w="2020" w:type="dxa"/>
            <w:vAlign w:val="bottom"/>
            <w:tcBorders>
              <w:bottom w:val="single" w:sz="8" w:color="00B2E5"/>
            </w:tcBorders>
            <w:gridSpan w:val="2"/>
          </w:tcPr>
          <w:p>
            <w:pPr>
              <w:spacing w:after="0"/>
              <w:rPr>
                <w:sz w:val="20"/>
                <w:szCs w:val="20"/>
                <w:color w:val="auto"/>
              </w:rPr>
            </w:pPr>
            <w:r>
              <w:rPr>
                <w:rFonts w:ascii="Arial" w:cs="Arial" w:eastAsia="Arial" w:hAnsi="Arial"/>
                <w:sz w:val="12"/>
                <w:szCs w:val="12"/>
                <w:b w:val="1"/>
                <w:bCs w:val="1"/>
                <w:color w:val="auto"/>
              </w:rPr>
              <w:t>NEOs</w:t>
            </w:r>
          </w:p>
        </w:tc>
        <w:tc>
          <w:tcPr>
            <w:tcW w:w="1340" w:type="dxa"/>
            <w:vAlign w:val="bottom"/>
            <w:tcBorders>
              <w:bottom w:val="single" w:sz="8" w:color="00B2E5"/>
            </w:tcBorders>
            <w:gridSpan w:val="2"/>
          </w:tcPr>
          <w:p>
            <w:pPr>
              <w:jc w:val="center"/>
              <w:ind w:right="140"/>
              <w:spacing w:after="0"/>
              <w:rPr>
                <w:sz w:val="20"/>
                <w:szCs w:val="20"/>
                <w:color w:val="auto"/>
              </w:rPr>
            </w:pPr>
            <w:r>
              <w:rPr>
                <w:rFonts w:ascii="Arial" w:cs="Arial" w:eastAsia="Arial" w:hAnsi="Arial"/>
                <w:sz w:val="12"/>
                <w:szCs w:val="12"/>
                <w:b w:val="1"/>
                <w:bCs w:val="1"/>
                <w:color w:val="auto"/>
                <w:w w:val="96"/>
              </w:rPr>
              <w:t>2019(1)</w:t>
            </w:r>
          </w:p>
        </w:tc>
        <w:tc>
          <w:tcPr>
            <w:tcW w:w="1320" w:type="dxa"/>
            <w:vAlign w:val="bottom"/>
            <w:tcBorders>
              <w:bottom w:val="single" w:sz="8" w:color="00B2E5"/>
            </w:tcBorders>
          </w:tcPr>
          <w:p>
            <w:pPr>
              <w:jc w:val="center"/>
              <w:ind w:right="61"/>
              <w:spacing w:after="0"/>
              <w:rPr>
                <w:sz w:val="20"/>
                <w:szCs w:val="20"/>
                <w:color w:val="auto"/>
              </w:rPr>
            </w:pPr>
            <w:r>
              <w:rPr>
                <w:rFonts w:ascii="Arial" w:cs="Arial" w:eastAsia="Arial" w:hAnsi="Arial"/>
                <w:sz w:val="12"/>
                <w:szCs w:val="12"/>
                <w:b w:val="1"/>
                <w:bCs w:val="1"/>
                <w:color w:val="auto"/>
                <w:w w:val="96"/>
              </w:rPr>
              <w:t>2020(1)</w:t>
            </w:r>
          </w:p>
        </w:tc>
        <w:tc>
          <w:tcPr>
            <w:tcW w:w="1300" w:type="dxa"/>
            <w:vAlign w:val="bottom"/>
            <w:tcBorders>
              <w:bottom w:val="single" w:sz="8" w:color="00B2E5"/>
            </w:tcBorders>
          </w:tcPr>
          <w:p>
            <w:pPr>
              <w:ind w:left="300"/>
              <w:spacing w:after="0"/>
              <w:rPr>
                <w:sz w:val="20"/>
                <w:szCs w:val="20"/>
                <w:color w:val="auto"/>
              </w:rPr>
            </w:pPr>
            <w:r>
              <w:rPr>
                <w:rFonts w:ascii="Arial" w:cs="Arial" w:eastAsia="Arial" w:hAnsi="Arial"/>
                <w:sz w:val="12"/>
                <w:szCs w:val="12"/>
                <w:b w:val="1"/>
                <w:bCs w:val="1"/>
                <w:color w:val="auto"/>
              </w:rPr>
              <w:t>% Change</w:t>
            </w:r>
          </w:p>
        </w:tc>
        <w:tc>
          <w:tcPr>
            <w:tcW w:w="1320" w:type="dxa"/>
            <w:vAlign w:val="bottom"/>
            <w:tcBorders>
              <w:bottom w:val="single" w:sz="8" w:color="00B2E5"/>
            </w:tcBorders>
          </w:tcPr>
          <w:p>
            <w:pPr>
              <w:jc w:val="center"/>
              <w:ind w:right="81"/>
              <w:spacing w:after="0"/>
              <w:rPr>
                <w:sz w:val="20"/>
                <w:szCs w:val="20"/>
                <w:color w:val="auto"/>
              </w:rPr>
            </w:pPr>
            <w:r>
              <w:rPr>
                <w:rFonts w:ascii="Arial" w:cs="Arial" w:eastAsia="Arial" w:hAnsi="Arial"/>
                <w:sz w:val="12"/>
                <w:szCs w:val="12"/>
                <w:b w:val="1"/>
                <w:bCs w:val="1"/>
                <w:color w:val="auto"/>
              </w:rPr>
              <w:t>2020(2)</w:t>
            </w:r>
          </w:p>
        </w:tc>
        <w:tc>
          <w:tcPr>
            <w:tcW w:w="1180" w:type="dxa"/>
            <w:vAlign w:val="bottom"/>
            <w:tcBorders>
              <w:bottom w:val="single" w:sz="8" w:color="00B2E5"/>
            </w:tcBorders>
          </w:tcPr>
          <w:p>
            <w:pPr>
              <w:jc w:val="center"/>
              <w:spacing w:after="0"/>
              <w:rPr>
                <w:sz w:val="20"/>
                <w:szCs w:val="20"/>
                <w:color w:val="auto"/>
              </w:rPr>
            </w:pPr>
            <w:r>
              <w:rPr>
                <w:rFonts w:ascii="Arial" w:cs="Arial" w:eastAsia="Arial" w:hAnsi="Arial"/>
                <w:sz w:val="12"/>
                <w:szCs w:val="12"/>
                <w:b w:val="1"/>
                <w:bCs w:val="1"/>
                <w:color w:val="auto"/>
                <w:w w:val="96"/>
              </w:rPr>
              <w:t>% Change</w:t>
            </w:r>
          </w:p>
        </w:tc>
      </w:tr>
      <w:tr>
        <w:trPr>
          <w:trHeight w:val="135"/>
        </w:trPr>
        <w:tc>
          <w:tcPr>
            <w:tcW w:w="2020" w:type="dxa"/>
            <w:vAlign w:val="bottom"/>
            <w:tcBorders>
              <w:bottom w:val="single" w:sz="8" w:color="00B2E5"/>
              <w:right w:val="single" w:sz="8" w:color="00B2E5"/>
            </w:tcBorders>
            <w:gridSpan w:val="2"/>
          </w:tcPr>
          <w:p>
            <w:pPr>
              <w:spacing w:after="0" w:line="135" w:lineRule="exact"/>
              <w:rPr>
                <w:sz w:val="20"/>
                <w:szCs w:val="20"/>
                <w:color w:val="auto"/>
              </w:rPr>
            </w:pPr>
            <w:r>
              <w:rPr>
                <w:rFonts w:ascii="Arial" w:cs="Arial" w:eastAsia="Arial" w:hAnsi="Arial"/>
                <w:sz w:val="12"/>
                <w:szCs w:val="12"/>
                <w:color w:val="auto"/>
              </w:rPr>
              <w:t>W. Troy Rudd</w:t>
            </w:r>
          </w:p>
        </w:tc>
        <w:tc>
          <w:tcPr>
            <w:tcW w:w="1340" w:type="dxa"/>
            <w:vAlign w:val="bottom"/>
            <w:tcBorders>
              <w:bottom w:val="single" w:sz="8" w:color="00B2E5"/>
              <w:right w:val="single" w:sz="8" w:color="00B2E5"/>
            </w:tcBorders>
            <w:gridSpan w:val="2"/>
          </w:tcPr>
          <w:p>
            <w:pPr>
              <w:jc w:val="center"/>
              <w:ind w:right="120"/>
              <w:spacing w:after="0" w:line="135" w:lineRule="exact"/>
              <w:rPr>
                <w:sz w:val="20"/>
                <w:szCs w:val="20"/>
                <w:color w:val="auto"/>
              </w:rPr>
            </w:pPr>
            <w:r>
              <w:rPr>
                <w:rFonts w:ascii="Arial" w:cs="Arial" w:eastAsia="Arial" w:hAnsi="Arial"/>
                <w:sz w:val="12"/>
                <w:szCs w:val="12"/>
                <w:color w:val="auto"/>
                <w:w w:val="99"/>
              </w:rPr>
              <w:t>$700,000</w:t>
            </w:r>
          </w:p>
        </w:tc>
        <w:tc>
          <w:tcPr>
            <w:tcW w:w="132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w w:val="99"/>
              </w:rPr>
              <w:t>$775,000</w:t>
            </w:r>
          </w:p>
        </w:tc>
        <w:tc>
          <w:tcPr>
            <w:tcW w:w="1300" w:type="dxa"/>
            <w:vAlign w:val="bottom"/>
            <w:tcBorders>
              <w:bottom w:val="single" w:sz="8" w:color="00B2E5"/>
              <w:right w:val="single" w:sz="8" w:color="00B2E5"/>
            </w:tcBorders>
          </w:tcPr>
          <w:p>
            <w:pPr>
              <w:jc w:val="center"/>
              <w:ind w:right="61"/>
              <w:spacing w:after="0" w:line="135" w:lineRule="exact"/>
              <w:rPr>
                <w:sz w:val="20"/>
                <w:szCs w:val="20"/>
                <w:color w:val="auto"/>
              </w:rPr>
            </w:pPr>
            <w:r>
              <w:rPr>
                <w:rFonts w:ascii="Arial" w:cs="Arial" w:eastAsia="Arial" w:hAnsi="Arial"/>
                <w:sz w:val="12"/>
                <w:szCs w:val="12"/>
                <w:color w:val="auto"/>
                <w:w w:val="99"/>
              </w:rPr>
              <w:t>10.7%</w:t>
            </w:r>
          </w:p>
        </w:tc>
        <w:tc>
          <w:tcPr>
            <w:tcW w:w="132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w w:val="96"/>
              </w:rPr>
              <w:t>$1,000,000</w:t>
            </w:r>
          </w:p>
        </w:tc>
        <w:tc>
          <w:tcPr>
            <w:tcW w:w="1180" w:type="dxa"/>
            <w:vAlign w:val="bottom"/>
            <w:tcBorders>
              <w:bottom w:val="single" w:sz="8" w:color="00B2E5"/>
            </w:tcBorders>
          </w:tcPr>
          <w:p>
            <w:pPr>
              <w:jc w:val="center"/>
              <w:spacing w:after="0" w:line="135" w:lineRule="exact"/>
              <w:rPr>
                <w:sz w:val="20"/>
                <w:szCs w:val="20"/>
                <w:color w:val="auto"/>
              </w:rPr>
            </w:pPr>
            <w:r>
              <w:rPr>
                <w:rFonts w:ascii="Arial" w:cs="Arial" w:eastAsia="Arial" w:hAnsi="Arial"/>
                <w:sz w:val="12"/>
                <w:szCs w:val="12"/>
                <w:color w:val="auto"/>
                <w:w w:val="99"/>
              </w:rPr>
              <w:t>29.0%</w:t>
            </w:r>
          </w:p>
        </w:tc>
      </w:tr>
      <w:tr>
        <w:trPr>
          <w:trHeight w:val="126"/>
        </w:trPr>
        <w:tc>
          <w:tcPr>
            <w:tcW w:w="2020" w:type="dxa"/>
            <w:vAlign w:val="bottom"/>
            <w:tcBorders>
              <w:bottom w:val="single" w:sz="8" w:color="00B2E5"/>
              <w:right w:val="single" w:sz="8" w:color="00B2E5"/>
            </w:tcBorders>
            <w:gridSpan w:val="2"/>
          </w:tcPr>
          <w:p>
            <w:pPr>
              <w:spacing w:after="0" w:line="126" w:lineRule="exact"/>
              <w:rPr>
                <w:sz w:val="20"/>
                <w:szCs w:val="20"/>
                <w:color w:val="auto"/>
              </w:rPr>
            </w:pPr>
            <w:r>
              <w:rPr>
                <w:rFonts w:ascii="Arial" w:cs="Arial" w:eastAsia="Arial" w:hAnsi="Arial"/>
                <w:sz w:val="12"/>
                <w:szCs w:val="12"/>
                <w:color w:val="auto"/>
              </w:rPr>
              <w:t>Gaurav Kapoor</w:t>
            </w:r>
          </w:p>
        </w:tc>
        <w:tc>
          <w:tcPr>
            <w:tcW w:w="1340" w:type="dxa"/>
            <w:vAlign w:val="bottom"/>
            <w:tcBorders>
              <w:bottom w:val="single" w:sz="8" w:color="00B2E5"/>
              <w:right w:val="single" w:sz="8" w:color="00B2E5"/>
            </w:tcBorders>
            <w:gridSpan w:val="2"/>
          </w:tcPr>
          <w:p>
            <w:pPr>
              <w:jc w:val="center"/>
              <w:ind w:right="120"/>
              <w:spacing w:after="0" w:line="126" w:lineRule="exact"/>
              <w:rPr>
                <w:sz w:val="20"/>
                <w:szCs w:val="20"/>
                <w:color w:val="auto"/>
              </w:rPr>
            </w:pPr>
            <w:r>
              <w:rPr>
                <w:rFonts w:ascii="Arial" w:cs="Arial" w:eastAsia="Arial" w:hAnsi="Arial"/>
                <w:sz w:val="12"/>
                <w:szCs w:val="12"/>
                <w:color w:val="auto"/>
                <w:w w:val="99"/>
              </w:rPr>
              <w:t>$435,000</w:t>
            </w:r>
          </w:p>
        </w:tc>
        <w:tc>
          <w:tcPr>
            <w:tcW w:w="1320" w:type="dxa"/>
            <w:vAlign w:val="bottom"/>
            <w:tcBorders>
              <w:bottom w:val="single" w:sz="8" w:color="00B2E5"/>
              <w:right w:val="single" w:sz="8" w:color="00B2E5"/>
            </w:tcBorders>
          </w:tcPr>
          <w:p>
            <w:pPr>
              <w:jc w:val="center"/>
              <w:ind w:right="81"/>
              <w:spacing w:after="0" w:line="126" w:lineRule="exact"/>
              <w:rPr>
                <w:sz w:val="20"/>
                <w:szCs w:val="20"/>
                <w:color w:val="auto"/>
              </w:rPr>
            </w:pPr>
            <w:r>
              <w:rPr>
                <w:rFonts w:ascii="Arial" w:cs="Arial" w:eastAsia="Arial" w:hAnsi="Arial"/>
                <w:sz w:val="12"/>
                <w:szCs w:val="12"/>
                <w:color w:val="auto"/>
                <w:w w:val="99"/>
              </w:rPr>
              <w:t>$495,000</w:t>
            </w:r>
          </w:p>
        </w:tc>
        <w:tc>
          <w:tcPr>
            <w:tcW w:w="1300" w:type="dxa"/>
            <w:vAlign w:val="bottom"/>
            <w:tcBorders>
              <w:bottom w:val="single" w:sz="8" w:color="00B2E5"/>
              <w:right w:val="single" w:sz="8" w:color="00B2E5"/>
            </w:tcBorders>
          </w:tcPr>
          <w:p>
            <w:pPr>
              <w:jc w:val="center"/>
              <w:ind w:right="61"/>
              <w:spacing w:after="0" w:line="126" w:lineRule="exact"/>
              <w:rPr>
                <w:sz w:val="20"/>
                <w:szCs w:val="20"/>
                <w:color w:val="auto"/>
              </w:rPr>
            </w:pPr>
            <w:r>
              <w:rPr>
                <w:rFonts w:ascii="Arial" w:cs="Arial" w:eastAsia="Arial" w:hAnsi="Arial"/>
                <w:sz w:val="12"/>
                <w:szCs w:val="12"/>
                <w:color w:val="auto"/>
                <w:w w:val="99"/>
              </w:rPr>
              <w:t>13.8%</w:t>
            </w:r>
          </w:p>
        </w:tc>
        <w:tc>
          <w:tcPr>
            <w:tcW w:w="1320" w:type="dxa"/>
            <w:vAlign w:val="bottom"/>
            <w:tcBorders>
              <w:bottom w:val="single" w:sz="8" w:color="00B2E5"/>
              <w:right w:val="single" w:sz="8" w:color="00B2E5"/>
            </w:tcBorders>
          </w:tcPr>
          <w:p>
            <w:pPr>
              <w:jc w:val="center"/>
              <w:ind w:right="81"/>
              <w:spacing w:after="0" w:line="126" w:lineRule="exact"/>
              <w:rPr>
                <w:sz w:val="20"/>
                <w:szCs w:val="20"/>
                <w:color w:val="auto"/>
              </w:rPr>
            </w:pPr>
            <w:r>
              <w:rPr>
                <w:rFonts w:ascii="Arial" w:cs="Arial" w:eastAsia="Arial" w:hAnsi="Arial"/>
                <w:sz w:val="12"/>
                <w:szCs w:val="12"/>
                <w:color w:val="auto"/>
                <w:w w:val="99"/>
              </w:rPr>
              <w:t>$575,000</w:t>
            </w:r>
          </w:p>
        </w:tc>
        <w:tc>
          <w:tcPr>
            <w:tcW w:w="1180" w:type="dxa"/>
            <w:vAlign w:val="bottom"/>
            <w:tcBorders>
              <w:bottom w:val="single" w:sz="8" w:color="00B2E5"/>
            </w:tcBorders>
          </w:tcPr>
          <w:p>
            <w:pPr>
              <w:jc w:val="center"/>
              <w:spacing w:after="0" w:line="126" w:lineRule="exact"/>
              <w:rPr>
                <w:sz w:val="20"/>
                <w:szCs w:val="20"/>
                <w:color w:val="auto"/>
              </w:rPr>
            </w:pPr>
            <w:r>
              <w:rPr>
                <w:rFonts w:ascii="Arial" w:cs="Arial" w:eastAsia="Arial" w:hAnsi="Arial"/>
                <w:sz w:val="12"/>
                <w:szCs w:val="12"/>
                <w:color w:val="auto"/>
                <w:w w:val="99"/>
              </w:rPr>
              <w:t>16.2%</w:t>
            </w:r>
          </w:p>
        </w:tc>
      </w:tr>
      <w:tr>
        <w:trPr>
          <w:trHeight w:val="126"/>
        </w:trPr>
        <w:tc>
          <w:tcPr>
            <w:tcW w:w="2020" w:type="dxa"/>
            <w:vAlign w:val="bottom"/>
            <w:tcBorders>
              <w:bottom w:val="single" w:sz="8" w:color="00B2E5"/>
              <w:right w:val="single" w:sz="8" w:color="00B2E5"/>
            </w:tcBorders>
            <w:gridSpan w:val="2"/>
          </w:tcPr>
          <w:p>
            <w:pPr>
              <w:spacing w:after="0" w:line="126" w:lineRule="exact"/>
              <w:rPr>
                <w:sz w:val="20"/>
                <w:szCs w:val="20"/>
                <w:color w:val="auto"/>
              </w:rPr>
            </w:pPr>
            <w:r>
              <w:rPr>
                <w:rFonts w:ascii="Arial" w:cs="Arial" w:eastAsia="Arial" w:hAnsi="Arial"/>
                <w:sz w:val="12"/>
                <w:szCs w:val="12"/>
                <w:color w:val="auto"/>
              </w:rPr>
              <w:t>Lara Poloni</w:t>
            </w:r>
          </w:p>
        </w:tc>
        <w:tc>
          <w:tcPr>
            <w:tcW w:w="1340" w:type="dxa"/>
            <w:vAlign w:val="bottom"/>
            <w:tcBorders>
              <w:bottom w:val="single" w:sz="8" w:color="00B2E5"/>
              <w:right w:val="single" w:sz="8" w:color="00B2E5"/>
            </w:tcBorders>
            <w:gridSpan w:val="2"/>
          </w:tcPr>
          <w:p>
            <w:pPr>
              <w:jc w:val="center"/>
              <w:ind w:right="120"/>
              <w:spacing w:after="0" w:line="126" w:lineRule="exact"/>
              <w:rPr>
                <w:sz w:val="20"/>
                <w:szCs w:val="20"/>
                <w:color w:val="auto"/>
              </w:rPr>
            </w:pPr>
            <w:r>
              <w:rPr>
                <w:rFonts w:ascii="Arial" w:cs="Arial" w:eastAsia="Arial" w:hAnsi="Arial"/>
                <w:sz w:val="12"/>
                <w:szCs w:val="12"/>
                <w:color w:val="auto"/>
                <w:w w:val="99"/>
              </w:rPr>
              <w:t>$595,000</w:t>
            </w:r>
          </w:p>
        </w:tc>
        <w:tc>
          <w:tcPr>
            <w:tcW w:w="1320" w:type="dxa"/>
            <w:vAlign w:val="bottom"/>
            <w:tcBorders>
              <w:bottom w:val="single" w:sz="8" w:color="00B2E5"/>
              <w:right w:val="single" w:sz="8" w:color="00B2E5"/>
            </w:tcBorders>
          </w:tcPr>
          <w:p>
            <w:pPr>
              <w:jc w:val="center"/>
              <w:ind w:right="81"/>
              <w:spacing w:after="0" w:line="126" w:lineRule="exact"/>
              <w:rPr>
                <w:sz w:val="20"/>
                <w:szCs w:val="20"/>
                <w:color w:val="auto"/>
              </w:rPr>
            </w:pPr>
            <w:r>
              <w:rPr>
                <w:rFonts w:ascii="Arial" w:cs="Arial" w:eastAsia="Arial" w:hAnsi="Arial"/>
                <w:sz w:val="12"/>
                <w:szCs w:val="12"/>
                <w:color w:val="auto"/>
                <w:w w:val="99"/>
              </w:rPr>
              <w:t>$625,000</w:t>
            </w:r>
          </w:p>
        </w:tc>
        <w:tc>
          <w:tcPr>
            <w:tcW w:w="1300" w:type="dxa"/>
            <w:vAlign w:val="bottom"/>
            <w:tcBorders>
              <w:bottom w:val="single" w:sz="8" w:color="00B2E5"/>
              <w:right w:val="single" w:sz="8" w:color="00B2E5"/>
            </w:tcBorders>
          </w:tcPr>
          <w:p>
            <w:pPr>
              <w:jc w:val="center"/>
              <w:ind w:right="81"/>
              <w:spacing w:after="0" w:line="126" w:lineRule="exact"/>
              <w:rPr>
                <w:sz w:val="20"/>
                <w:szCs w:val="20"/>
                <w:color w:val="auto"/>
              </w:rPr>
            </w:pPr>
            <w:r>
              <w:rPr>
                <w:rFonts w:ascii="Arial" w:cs="Arial" w:eastAsia="Arial" w:hAnsi="Arial"/>
                <w:sz w:val="12"/>
                <w:szCs w:val="12"/>
                <w:color w:val="auto"/>
              </w:rPr>
              <w:t>5.0%</w:t>
            </w:r>
          </w:p>
        </w:tc>
        <w:tc>
          <w:tcPr>
            <w:tcW w:w="1320" w:type="dxa"/>
            <w:vAlign w:val="bottom"/>
            <w:tcBorders>
              <w:bottom w:val="single" w:sz="8" w:color="00B2E5"/>
              <w:right w:val="single" w:sz="8" w:color="00B2E5"/>
            </w:tcBorders>
          </w:tcPr>
          <w:p>
            <w:pPr>
              <w:jc w:val="center"/>
              <w:ind w:right="81"/>
              <w:spacing w:after="0" w:line="126" w:lineRule="exact"/>
              <w:rPr>
                <w:sz w:val="20"/>
                <w:szCs w:val="20"/>
                <w:color w:val="auto"/>
              </w:rPr>
            </w:pPr>
            <w:r>
              <w:rPr>
                <w:rFonts w:ascii="Arial" w:cs="Arial" w:eastAsia="Arial" w:hAnsi="Arial"/>
                <w:sz w:val="12"/>
                <w:szCs w:val="12"/>
                <w:color w:val="auto"/>
                <w:w w:val="99"/>
              </w:rPr>
              <w:t>$750,000</w:t>
            </w:r>
          </w:p>
        </w:tc>
        <w:tc>
          <w:tcPr>
            <w:tcW w:w="1180" w:type="dxa"/>
            <w:vAlign w:val="bottom"/>
            <w:tcBorders>
              <w:bottom w:val="single" w:sz="8" w:color="00B2E5"/>
            </w:tcBorders>
          </w:tcPr>
          <w:p>
            <w:pPr>
              <w:jc w:val="center"/>
              <w:spacing w:after="0" w:line="126" w:lineRule="exact"/>
              <w:rPr>
                <w:sz w:val="20"/>
                <w:szCs w:val="20"/>
                <w:color w:val="auto"/>
              </w:rPr>
            </w:pPr>
            <w:r>
              <w:rPr>
                <w:rFonts w:ascii="Arial" w:cs="Arial" w:eastAsia="Arial" w:hAnsi="Arial"/>
                <w:sz w:val="12"/>
                <w:szCs w:val="12"/>
                <w:color w:val="auto"/>
                <w:w w:val="99"/>
              </w:rPr>
              <w:t>20.0%</w:t>
            </w:r>
          </w:p>
        </w:tc>
      </w:tr>
      <w:tr>
        <w:trPr>
          <w:trHeight w:val="126"/>
        </w:trPr>
        <w:tc>
          <w:tcPr>
            <w:tcW w:w="2020" w:type="dxa"/>
            <w:vAlign w:val="bottom"/>
            <w:tcBorders>
              <w:bottom w:val="single" w:sz="8" w:color="00B2E5"/>
              <w:right w:val="single" w:sz="8" w:color="00B2E5"/>
            </w:tcBorders>
            <w:gridSpan w:val="2"/>
          </w:tcPr>
          <w:p>
            <w:pPr>
              <w:spacing w:after="0" w:line="126" w:lineRule="exact"/>
              <w:rPr>
                <w:sz w:val="20"/>
                <w:szCs w:val="20"/>
                <w:color w:val="auto"/>
              </w:rPr>
            </w:pPr>
            <w:r>
              <w:rPr>
                <w:rFonts w:ascii="Arial" w:cs="Arial" w:eastAsia="Arial" w:hAnsi="Arial"/>
                <w:sz w:val="12"/>
                <w:szCs w:val="12"/>
                <w:color w:val="auto"/>
              </w:rPr>
              <w:t>Randall A. Wotring</w:t>
            </w:r>
          </w:p>
        </w:tc>
        <w:tc>
          <w:tcPr>
            <w:tcW w:w="1340" w:type="dxa"/>
            <w:vAlign w:val="bottom"/>
            <w:tcBorders>
              <w:bottom w:val="single" w:sz="8" w:color="00B2E5"/>
              <w:right w:val="single" w:sz="8" w:color="00B2E5"/>
            </w:tcBorders>
            <w:gridSpan w:val="2"/>
          </w:tcPr>
          <w:p>
            <w:pPr>
              <w:jc w:val="center"/>
              <w:ind w:right="120"/>
              <w:spacing w:after="0" w:line="126" w:lineRule="exact"/>
              <w:rPr>
                <w:sz w:val="20"/>
                <w:szCs w:val="20"/>
                <w:color w:val="auto"/>
              </w:rPr>
            </w:pPr>
            <w:r>
              <w:rPr>
                <w:rFonts w:ascii="Arial" w:cs="Arial" w:eastAsia="Arial" w:hAnsi="Arial"/>
                <w:sz w:val="12"/>
                <w:szCs w:val="12"/>
                <w:color w:val="auto"/>
                <w:w w:val="99"/>
              </w:rPr>
              <w:t>$850,000</w:t>
            </w:r>
          </w:p>
        </w:tc>
        <w:tc>
          <w:tcPr>
            <w:tcW w:w="1320" w:type="dxa"/>
            <w:vAlign w:val="bottom"/>
            <w:tcBorders>
              <w:bottom w:val="single" w:sz="8" w:color="00B2E5"/>
              <w:right w:val="single" w:sz="8" w:color="00B2E5"/>
            </w:tcBorders>
          </w:tcPr>
          <w:p>
            <w:pPr>
              <w:jc w:val="center"/>
              <w:ind w:right="81"/>
              <w:spacing w:after="0" w:line="126" w:lineRule="exact"/>
              <w:rPr>
                <w:sz w:val="20"/>
                <w:szCs w:val="20"/>
                <w:color w:val="auto"/>
              </w:rPr>
            </w:pPr>
            <w:r>
              <w:rPr>
                <w:rFonts w:ascii="Arial" w:cs="Arial" w:eastAsia="Arial" w:hAnsi="Arial"/>
                <w:sz w:val="12"/>
                <w:szCs w:val="12"/>
                <w:color w:val="auto"/>
                <w:w w:val="99"/>
              </w:rPr>
              <w:t>$875,000</w:t>
            </w:r>
          </w:p>
        </w:tc>
        <w:tc>
          <w:tcPr>
            <w:tcW w:w="1300" w:type="dxa"/>
            <w:vAlign w:val="bottom"/>
            <w:tcBorders>
              <w:bottom w:val="single" w:sz="8" w:color="00B2E5"/>
              <w:right w:val="single" w:sz="8" w:color="00B2E5"/>
            </w:tcBorders>
          </w:tcPr>
          <w:p>
            <w:pPr>
              <w:jc w:val="center"/>
              <w:ind w:right="81"/>
              <w:spacing w:after="0" w:line="126" w:lineRule="exact"/>
              <w:rPr>
                <w:sz w:val="20"/>
                <w:szCs w:val="20"/>
                <w:color w:val="auto"/>
              </w:rPr>
            </w:pPr>
            <w:r>
              <w:rPr>
                <w:rFonts w:ascii="Arial" w:cs="Arial" w:eastAsia="Arial" w:hAnsi="Arial"/>
                <w:sz w:val="12"/>
                <w:szCs w:val="12"/>
                <w:color w:val="auto"/>
              </w:rPr>
              <w:t>2.9%</w:t>
            </w:r>
          </w:p>
        </w:tc>
        <w:tc>
          <w:tcPr>
            <w:tcW w:w="1320" w:type="dxa"/>
            <w:vAlign w:val="bottom"/>
            <w:tcBorders>
              <w:bottom w:val="single" w:sz="8" w:color="00B2E5"/>
              <w:right w:val="single" w:sz="8" w:color="00B2E5"/>
            </w:tcBorders>
          </w:tcPr>
          <w:p>
            <w:pPr>
              <w:spacing w:after="0"/>
              <w:rPr>
                <w:sz w:val="10"/>
                <w:szCs w:val="10"/>
                <w:color w:val="auto"/>
              </w:rPr>
            </w:pPr>
          </w:p>
        </w:tc>
        <w:tc>
          <w:tcPr>
            <w:tcW w:w="1180" w:type="dxa"/>
            <w:vAlign w:val="bottom"/>
            <w:tcBorders>
              <w:bottom w:val="single" w:sz="8" w:color="00B2E5"/>
            </w:tcBorders>
          </w:tcPr>
          <w:p>
            <w:pPr>
              <w:spacing w:after="0"/>
              <w:rPr>
                <w:sz w:val="10"/>
                <w:szCs w:val="10"/>
                <w:color w:val="auto"/>
              </w:rPr>
            </w:pPr>
          </w:p>
        </w:tc>
      </w:tr>
      <w:tr>
        <w:trPr>
          <w:trHeight w:val="126"/>
        </w:trPr>
        <w:tc>
          <w:tcPr>
            <w:tcW w:w="2020" w:type="dxa"/>
            <w:vAlign w:val="bottom"/>
            <w:tcBorders>
              <w:bottom w:val="single" w:sz="8" w:color="00B2E5"/>
              <w:right w:val="single" w:sz="8" w:color="00B2E5"/>
            </w:tcBorders>
            <w:gridSpan w:val="2"/>
          </w:tcPr>
          <w:p>
            <w:pPr>
              <w:spacing w:after="0" w:line="126" w:lineRule="exact"/>
              <w:rPr>
                <w:sz w:val="20"/>
                <w:szCs w:val="20"/>
                <w:color w:val="auto"/>
              </w:rPr>
            </w:pPr>
            <w:r>
              <w:rPr>
                <w:rFonts w:ascii="Arial" w:cs="Arial" w:eastAsia="Arial" w:hAnsi="Arial"/>
                <w:sz w:val="12"/>
                <w:szCs w:val="12"/>
                <w:color w:val="auto"/>
              </w:rPr>
              <w:t>Stephen J. Morriss</w:t>
            </w:r>
          </w:p>
        </w:tc>
        <w:tc>
          <w:tcPr>
            <w:tcW w:w="1340" w:type="dxa"/>
            <w:vAlign w:val="bottom"/>
            <w:tcBorders>
              <w:bottom w:val="single" w:sz="8" w:color="00B2E5"/>
              <w:right w:val="single" w:sz="8" w:color="00B2E5"/>
            </w:tcBorders>
            <w:gridSpan w:val="2"/>
          </w:tcPr>
          <w:p>
            <w:pPr>
              <w:jc w:val="center"/>
              <w:ind w:right="120"/>
              <w:spacing w:after="0" w:line="126" w:lineRule="exact"/>
              <w:rPr>
                <w:sz w:val="20"/>
                <w:szCs w:val="20"/>
                <w:color w:val="auto"/>
              </w:rPr>
            </w:pPr>
            <w:r>
              <w:rPr>
                <w:rFonts w:ascii="Arial" w:cs="Arial" w:eastAsia="Arial" w:hAnsi="Arial"/>
                <w:sz w:val="12"/>
                <w:szCs w:val="12"/>
                <w:color w:val="auto"/>
                <w:w w:val="99"/>
              </w:rPr>
              <w:t>$640,000</w:t>
            </w:r>
          </w:p>
        </w:tc>
        <w:tc>
          <w:tcPr>
            <w:tcW w:w="1320" w:type="dxa"/>
            <w:vAlign w:val="bottom"/>
            <w:tcBorders>
              <w:bottom w:val="single" w:sz="8" w:color="00B2E5"/>
              <w:right w:val="single" w:sz="8" w:color="00B2E5"/>
            </w:tcBorders>
          </w:tcPr>
          <w:p>
            <w:pPr>
              <w:jc w:val="center"/>
              <w:ind w:right="81"/>
              <w:spacing w:after="0" w:line="126" w:lineRule="exact"/>
              <w:rPr>
                <w:sz w:val="20"/>
                <w:szCs w:val="20"/>
                <w:color w:val="auto"/>
              </w:rPr>
            </w:pPr>
            <w:r>
              <w:rPr>
                <w:rFonts w:ascii="Arial" w:cs="Arial" w:eastAsia="Arial" w:hAnsi="Arial"/>
                <w:sz w:val="12"/>
                <w:szCs w:val="12"/>
                <w:color w:val="auto"/>
                <w:w w:val="99"/>
              </w:rPr>
              <w:t>$660,000</w:t>
            </w:r>
          </w:p>
        </w:tc>
        <w:tc>
          <w:tcPr>
            <w:tcW w:w="1300" w:type="dxa"/>
            <w:vAlign w:val="bottom"/>
            <w:tcBorders>
              <w:bottom w:val="single" w:sz="8" w:color="00B2E5"/>
              <w:right w:val="single" w:sz="8" w:color="00B2E5"/>
            </w:tcBorders>
          </w:tcPr>
          <w:p>
            <w:pPr>
              <w:jc w:val="center"/>
              <w:ind w:right="81"/>
              <w:spacing w:after="0" w:line="126" w:lineRule="exact"/>
              <w:rPr>
                <w:sz w:val="20"/>
                <w:szCs w:val="20"/>
                <w:color w:val="auto"/>
              </w:rPr>
            </w:pPr>
            <w:r>
              <w:rPr>
                <w:rFonts w:ascii="Arial" w:cs="Arial" w:eastAsia="Arial" w:hAnsi="Arial"/>
                <w:sz w:val="12"/>
                <w:szCs w:val="12"/>
                <w:color w:val="auto"/>
              </w:rPr>
              <w:t>3.1%</w:t>
            </w:r>
          </w:p>
        </w:tc>
        <w:tc>
          <w:tcPr>
            <w:tcW w:w="1320" w:type="dxa"/>
            <w:vAlign w:val="bottom"/>
            <w:tcBorders>
              <w:bottom w:val="single" w:sz="8" w:color="00B2E5"/>
              <w:right w:val="single" w:sz="8" w:color="00B2E5"/>
            </w:tcBorders>
          </w:tcPr>
          <w:p>
            <w:pPr>
              <w:spacing w:after="0"/>
              <w:rPr>
                <w:sz w:val="10"/>
                <w:szCs w:val="10"/>
                <w:color w:val="auto"/>
              </w:rPr>
            </w:pPr>
          </w:p>
        </w:tc>
        <w:tc>
          <w:tcPr>
            <w:tcW w:w="1180" w:type="dxa"/>
            <w:vAlign w:val="bottom"/>
            <w:tcBorders>
              <w:bottom w:val="single" w:sz="8" w:color="00B2E5"/>
            </w:tcBorders>
          </w:tcPr>
          <w:p>
            <w:pPr>
              <w:spacing w:after="0"/>
              <w:rPr>
                <w:sz w:val="10"/>
                <w:szCs w:val="10"/>
                <w:color w:val="auto"/>
              </w:rPr>
            </w:pPr>
          </w:p>
        </w:tc>
      </w:tr>
      <w:tr>
        <w:trPr>
          <w:trHeight w:val="126"/>
        </w:trPr>
        <w:tc>
          <w:tcPr>
            <w:tcW w:w="2020" w:type="dxa"/>
            <w:vAlign w:val="bottom"/>
            <w:tcBorders>
              <w:bottom w:val="single" w:sz="8" w:color="00B2E5"/>
              <w:right w:val="single" w:sz="8" w:color="00B2E5"/>
            </w:tcBorders>
            <w:gridSpan w:val="2"/>
          </w:tcPr>
          <w:p>
            <w:pPr>
              <w:spacing w:after="0" w:line="126" w:lineRule="exact"/>
              <w:rPr>
                <w:sz w:val="20"/>
                <w:szCs w:val="20"/>
                <w:color w:val="auto"/>
              </w:rPr>
            </w:pPr>
            <w:r>
              <w:rPr>
                <w:rFonts w:ascii="Arial" w:cs="Arial" w:eastAsia="Arial" w:hAnsi="Arial"/>
                <w:sz w:val="12"/>
                <w:szCs w:val="12"/>
                <w:color w:val="auto"/>
              </w:rPr>
              <w:t>Michael S. Burke</w:t>
            </w:r>
          </w:p>
        </w:tc>
        <w:tc>
          <w:tcPr>
            <w:tcW w:w="1340" w:type="dxa"/>
            <w:vAlign w:val="bottom"/>
            <w:tcBorders>
              <w:bottom w:val="single" w:sz="8" w:color="00B2E5"/>
              <w:right w:val="single" w:sz="8" w:color="00B2E5"/>
            </w:tcBorders>
            <w:gridSpan w:val="2"/>
          </w:tcPr>
          <w:p>
            <w:pPr>
              <w:jc w:val="center"/>
              <w:ind w:right="140"/>
              <w:spacing w:after="0" w:line="126" w:lineRule="exact"/>
              <w:rPr>
                <w:sz w:val="20"/>
                <w:szCs w:val="20"/>
                <w:color w:val="auto"/>
              </w:rPr>
            </w:pPr>
            <w:r>
              <w:rPr>
                <w:rFonts w:ascii="Arial" w:cs="Arial" w:eastAsia="Arial" w:hAnsi="Arial"/>
                <w:sz w:val="12"/>
                <w:szCs w:val="12"/>
                <w:color w:val="auto"/>
                <w:w w:val="99"/>
              </w:rPr>
              <w:t>$1,500,000</w:t>
            </w:r>
          </w:p>
        </w:tc>
        <w:tc>
          <w:tcPr>
            <w:tcW w:w="1320" w:type="dxa"/>
            <w:vAlign w:val="bottom"/>
            <w:tcBorders>
              <w:bottom w:val="single" w:sz="8" w:color="00B2E5"/>
              <w:right w:val="single" w:sz="8" w:color="00B2E5"/>
            </w:tcBorders>
          </w:tcPr>
          <w:p>
            <w:pPr>
              <w:jc w:val="center"/>
              <w:ind w:right="61"/>
              <w:spacing w:after="0" w:line="126" w:lineRule="exact"/>
              <w:rPr>
                <w:sz w:val="20"/>
                <w:szCs w:val="20"/>
                <w:color w:val="auto"/>
              </w:rPr>
            </w:pPr>
            <w:r>
              <w:rPr>
                <w:rFonts w:ascii="Arial" w:cs="Arial" w:eastAsia="Arial" w:hAnsi="Arial"/>
                <w:sz w:val="12"/>
                <w:szCs w:val="12"/>
                <w:color w:val="auto"/>
                <w:w w:val="99"/>
              </w:rPr>
              <w:t>$1,500,000</w:t>
            </w:r>
          </w:p>
        </w:tc>
        <w:tc>
          <w:tcPr>
            <w:tcW w:w="1300" w:type="dxa"/>
            <w:vAlign w:val="bottom"/>
            <w:tcBorders>
              <w:bottom w:val="single" w:sz="8" w:color="00B2E5"/>
              <w:right w:val="single" w:sz="8" w:color="00B2E5"/>
            </w:tcBorders>
          </w:tcPr>
          <w:p>
            <w:pPr>
              <w:jc w:val="center"/>
              <w:ind w:right="81"/>
              <w:spacing w:after="0" w:line="126" w:lineRule="exact"/>
              <w:rPr>
                <w:sz w:val="20"/>
                <w:szCs w:val="20"/>
                <w:color w:val="auto"/>
              </w:rPr>
            </w:pPr>
            <w:r>
              <w:rPr>
                <w:rFonts w:ascii="Arial" w:cs="Arial" w:eastAsia="Arial" w:hAnsi="Arial"/>
                <w:sz w:val="12"/>
                <w:szCs w:val="12"/>
                <w:color w:val="auto"/>
              </w:rPr>
              <w:t>0.0%</w:t>
            </w:r>
          </w:p>
        </w:tc>
        <w:tc>
          <w:tcPr>
            <w:tcW w:w="1320" w:type="dxa"/>
            <w:vAlign w:val="bottom"/>
            <w:tcBorders>
              <w:bottom w:val="single" w:sz="8" w:color="00B2E5"/>
              <w:right w:val="single" w:sz="8" w:color="00B2E5"/>
            </w:tcBorders>
          </w:tcPr>
          <w:p>
            <w:pPr>
              <w:spacing w:after="0"/>
              <w:rPr>
                <w:sz w:val="10"/>
                <w:szCs w:val="10"/>
                <w:color w:val="auto"/>
              </w:rPr>
            </w:pPr>
          </w:p>
        </w:tc>
        <w:tc>
          <w:tcPr>
            <w:tcW w:w="1180" w:type="dxa"/>
            <w:vAlign w:val="bottom"/>
            <w:tcBorders>
              <w:bottom w:val="single" w:sz="8" w:color="00B2E5"/>
            </w:tcBorders>
          </w:tcPr>
          <w:p>
            <w:pPr>
              <w:spacing w:after="0"/>
              <w:rPr>
                <w:sz w:val="10"/>
                <w:szCs w:val="10"/>
                <w:color w:val="auto"/>
              </w:rPr>
            </w:pPr>
          </w:p>
        </w:tc>
      </w:tr>
      <w:tr>
        <w:trPr>
          <w:trHeight w:val="62"/>
        </w:trPr>
        <w:tc>
          <w:tcPr>
            <w:tcW w:w="20" w:type="dxa"/>
            <w:vAlign w:val="bottom"/>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80" w:type="dxa"/>
            <w:vAlign w:val="bottom"/>
          </w:tcPr>
          <w:p>
            <w:pPr>
              <w:spacing w:after="0"/>
              <w:rPr>
                <w:sz w:val="5"/>
                <w:szCs w:val="5"/>
                <w:color w:val="auto"/>
              </w:rPr>
            </w:pPr>
          </w:p>
        </w:tc>
      </w:tr>
    </w:tbl>
    <w:p>
      <w:pPr>
        <w:spacing w:after="0" w:line="137" w:lineRule="exact"/>
        <w:rPr>
          <w:sz w:val="20"/>
          <w:szCs w:val="20"/>
          <w:color w:val="auto"/>
        </w:rPr>
      </w:pPr>
    </w:p>
    <w:p>
      <w:pPr>
        <w:ind w:left="1720" w:hanging="371"/>
        <w:spacing w:after="0"/>
        <w:tabs>
          <w:tab w:leader="none" w:pos="1720" w:val="left"/>
        </w:tabs>
        <w:numPr>
          <w:ilvl w:val="0"/>
          <w:numId w:val="37"/>
        </w:numPr>
        <w:rPr>
          <w:rFonts w:ascii="Arial" w:cs="Arial" w:eastAsia="Arial" w:hAnsi="Arial"/>
          <w:sz w:val="9"/>
          <w:szCs w:val="9"/>
          <w:color w:val="auto"/>
        </w:rPr>
      </w:pPr>
      <w:r>
        <w:rPr>
          <w:rFonts w:ascii="Arial" w:cs="Arial" w:eastAsia="Arial" w:hAnsi="Arial"/>
          <w:sz w:val="9"/>
          <w:szCs w:val="9"/>
          <w:color w:val="auto"/>
        </w:rPr>
        <w:t>Salary increase, if any, effective January 2019 and 2020 with the beginning of the calendar year. Salaries disclosed in the "SUMMARY COMPENSATION TABLE" reflect actual amounts paid in the respective fiscal year.</w:t>
      </w:r>
    </w:p>
    <w:p>
      <w:pPr>
        <w:spacing w:after="0" w:line="115" w:lineRule="exact"/>
        <w:rPr>
          <w:rFonts w:ascii="Arial" w:cs="Arial" w:eastAsia="Arial" w:hAnsi="Arial"/>
          <w:sz w:val="9"/>
          <w:szCs w:val="9"/>
          <w:color w:val="auto"/>
        </w:rPr>
      </w:pPr>
    </w:p>
    <w:p>
      <w:pPr>
        <w:ind w:left="1720" w:hanging="371"/>
        <w:spacing w:after="0" w:line="259" w:lineRule="auto"/>
        <w:tabs>
          <w:tab w:leader="none" w:pos="1720" w:val="left"/>
        </w:tabs>
        <w:numPr>
          <w:ilvl w:val="0"/>
          <w:numId w:val="37"/>
        </w:numPr>
        <w:rPr>
          <w:rFonts w:ascii="Arial" w:cs="Arial" w:eastAsia="Arial" w:hAnsi="Arial"/>
          <w:sz w:val="10"/>
          <w:szCs w:val="10"/>
          <w:color w:val="auto"/>
        </w:rPr>
      </w:pPr>
      <w:r>
        <w:rPr>
          <w:rFonts w:ascii="Arial" w:cs="Arial" w:eastAsia="Arial" w:hAnsi="Arial"/>
          <w:sz w:val="10"/>
          <w:szCs w:val="10"/>
          <w:color w:val="auto"/>
        </w:rPr>
        <w:t>Salary increase, if any, effective August 15, 2020 at the time of promotion for Mr. Rudd, Ms. Poloni, and Mr. Kapoor. Salaries disclosed in the "SUMMARY COMPENSATION TABLE" reflect actual amounts paid in the respective fiscal year.</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The Compensation Committee believes that our NEOs' base salary levels provide appropriate levels of fixed income based on the background, qualifications and skill set of each executive.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Compensation Actions in Response to COVID-19</w:t>
      </w:r>
    </w:p>
    <w:p>
      <w:pPr>
        <w:spacing w:after="0" w:line="147" w:lineRule="exact"/>
        <w:rPr>
          <w:sz w:val="20"/>
          <w:szCs w:val="20"/>
          <w:color w:val="auto"/>
        </w:rPr>
      </w:pPr>
    </w:p>
    <w:p>
      <w:pPr>
        <w:ind w:right="20"/>
        <w:spacing w:after="0" w:line="274" w:lineRule="auto"/>
        <w:rPr>
          <w:sz w:val="20"/>
          <w:szCs w:val="20"/>
          <w:color w:val="auto"/>
        </w:rPr>
      </w:pPr>
      <w:r>
        <w:rPr>
          <w:rFonts w:ascii="Arial" w:cs="Arial" w:eastAsia="Arial" w:hAnsi="Arial"/>
          <w:sz w:val="12"/>
          <w:szCs w:val="12"/>
          <w:color w:val="auto"/>
        </w:rPr>
        <w:t>Due to the COVID-19 pandemic, our Compensation Committee temporarily reduced the salaries of our NEOs, effective April 2020, by 20%. The reduced base salaries are reflected in the "Summary Compensation Table." The Compensation Committee fully restored the base salaries on a go-forward basis for all NEOs other than the CEO effective August 1, 2020, and, for the CEO, effective October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76770" cy="114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Our Compensation Committee establishes a short-term incentive award opportunity to be paid to each NEO upon achieving certain annual individual and company performance goals under the Executive Incentive Plan ("EIP"). For fiscal 2020, the Compensation Committee approved the following target percentages (%) and amounts ($) for the NEOs:</w:t>
      </w:r>
    </w:p>
    <w:p>
      <w:pPr>
        <w:spacing w:after="0" w:line="102" w:lineRule="exact"/>
        <w:rPr>
          <w:sz w:val="20"/>
          <w:szCs w:val="20"/>
          <w:color w:val="auto"/>
        </w:rPr>
      </w:pPr>
    </w:p>
    <w:tbl>
      <w:tblPr>
        <w:tblLayout w:type="fixed"/>
        <w:tblInd w:w="1340" w:type="dxa"/>
        <w:tblCellMar>
          <w:top w:w="0" w:type="dxa"/>
          <w:left w:w="0" w:type="dxa"/>
          <w:bottom w:w="0" w:type="dxa"/>
          <w:right w:w="0" w:type="dxa"/>
        </w:tblCellMar>
      </w:tblPr>
      <w:tr>
        <w:trPr>
          <w:trHeight w:val="151"/>
        </w:trPr>
        <w:tc>
          <w:tcPr>
            <w:tcW w:w="3420" w:type="dxa"/>
            <w:vAlign w:val="bottom"/>
            <w:tcBorders>
              <w:bottom w:val="single" w:sz="8" w:color="00B2E5"/>
            </w:tcBorders>
            <w:gridSpan w:val="3"/>
          </w:tcPr>
          <w:p>
            <w:pPr>
              <w:spacing w:after="0"/>
              <w:rPr>
                <w:sz w:val="20"/>
                <w:szCs w:val="20"/>
                <w:color w:val="auto"/>
              </w:rPr>
            </w:pPr>
            <w:r>
              <w:rPr>
                <w:rFonts w:ascii="Arial" w:cs="Arial" w:eastAsia="Arial" w:hAnsi="Arial"/>
                <w:sz w:val="12"/>
                <w:szCs w:val="12"/>
                <w:b w:val="1"/>
                <w:bCs w:val="1"/>
                <w:color w:val="auto"/>
              </w:rPr>
              <w:t>Annual Target Incentives (NEOs)</w:t>
            </w:r>
          </w:p>
        </w:tc>
        <w:tc>
          <w:tcPr>
            <w:tcW w:w="540" w:type="dxa"/>
            <w:vAlign w:val="bottom"/>
            <w:tcBorders>
              <w:bottom w:val="single" w:sz="8" w:color="00B2E5"/>
            </w:tcBorders>
          </w:tcPr>
          <w:p>
            <w:pPr>
              <w:spacing w:after="0"/>
              <w:rPr>
                <w:sz w:val="13"/>
                <w:szCs w:val="13"/>
                <w:color w:val="auto"/>
              </w:rPr>
            </w:pPr>
          </w:p>
        </w:tc>
        <w:tc>
          <w:tcPr>
            <w:tcW w:w="1260" w:type="dxa"/>
            <w:vAlign w:val="bottom"/>
            <w:tcBorders>
              <w:bottom w:val="single" w:sz="8" w:color="00B2E5"/>
            </w:tcBorders>
          </w:tcPr>
          <w:p>
            <w:pPr>
              <w:jc w:val="right"/>
              <w:ind w:right="701"/>
              <w:spacing w:after="0"/>
              <w:rPr>
                <w:sz w:val="20"/>
                <w:szCs w:val="20"/>
                <w:color w:val="auto"/>
              </w:rPr>
            </w:pPr>
            <w:r>
              <w:rPr>
                <w:rFonts w:ascii="Arial" w:cs="Arial" w:eastAsia="Arial" w:hAnsi="Arial"/>
                <w:sz w:val="12"/>
                <w:szCs w:val="12"/>
                <w:b w:val="1"/>
                <w:bCs w:val="1"/>
                <w:color w:val="auto"/>
              </w:rPr>
              <w:t>2019(1)</w:t>
            </w:r>
          </w:p>
        </w:tc>
        <w:tc>
          <w:tcPr>
            <w:tcW w:w="1620" w:type="dxa"/>
            <w:vAlign w:val="bottom"/>
            <w:tcBorders>
              <w:bottom w:val="single" w:sz="8" w:color="00B2E5"/>
            </w:tcBorders>
            <w:gridSpan w:val="2"/>
          </w:tcPr>
          <w:p>
            <w:pPr>
              <w:ind w:left="300"/>
              <w:spacing w:after="0"/>
              <w:rPr>
                <w:sz w:val="20"/>
                <w:szCs w:val="20"/>
                <w:color w:val="auto"/>
              </w:rPr>
            </w:pPr>
            <w:r>
              <w:rPr>
                <w:rFonts w:ascii="Arial" w:cs="Arial" w:eastAsia="Arial" w:hAnsi="Arial"/>
                <w:sz w:val="12"/>
                <w:szCs w:val="12"/>
                <w:b w:val="1"/>
                <w:bCs w:val="1"/>
                <w:color w:val="auto"/>
              </w:rPr>
              <w:t>January 2020(1)</w:t>
            </w:r>
          </w:p>
        </w:tc>
        <w:tc>
          <w:tcPr>
            <w:tcW w:w="400" w:type="dxa"/>
            <w:vAlign w:val="bottom"/>
            <w:tcBorders>
              <w:bottom w:val="single" w:sz="8" w:color="00B2E5"/>
            </w:tcBorders>
          </w:tcPr>
          <w:p>
            <w:pPr>
              <w:spacing w:after="0"/>
              <w:rPr>
                <w:sz w:val="13"/>
                <w:szCs w:val="13"/>
                <w:color w:val="auto"/>
              </w:rPr>
            </w:pPr>
          </w:p>
        </w:tc>
        <w:tc>
          <w:tcPr>
            <w:tcW w:w="1240" w:type="dxa"/>
            <w:vAlign w:val="bottom"/>
            <w:tcBorders>
              <w:bottom w:val="single" w:sz="8" w:color="00B2E5"/>
            </w:tcBorders>
            <w:gridSpan w:val="2"/>
          </w:tcPr>
          <w:p>
            <w:pPr>
              <w:ind w:left="20"/>
              <w:spacing w:after="0"/>
              <w:rPr>
                <w:sz w:val="20"/>
                <w:szCs w:val="20"/>
                <w:color w:val="auto"/>
              </w:rPr>
            </w:pPr>
            <w:r>
              <w:rPr>
                <w:rFonts w:ascii="Arial" w:cs="Arial" w:eastAsia="Arial" w:hAnsi="Arial"/>
                <w:sz w:val="12"/>
                <w:szCs w:val="12"/>
                <w:b w:val="1"/>
                <w:bCs w:val="1"/>
                <w:color w:val="auto"/>
              </w:rPr>
              <w:t>August 2020(2)</w:t>
            </w:r>
          </w:p>
        </w:tc>
      </w:tr>
      <w:tr>
        <w:trPr>
          <w:trHeight w:val="135"/>
        </w:trPr>
        <w:tc>
          <w:tcPr>
            <w:tcW w:w="3420" w:type="dxa"/>
            <w:vAlign w:val="bottom"/>
            <w:tcBorders>
              <w:bottom w:val="single" w:sz="8" w:color="00B2E5"/>
              <w:right w:val="single" w:sz="8" w:color="00B2E5"/>
            </w:tcBorders>
            <w:gridSpan w:val="3"/>
          </w:tcPr>
          <w:p>
            <w:pPr>
              <w:spacing w:after="0" w:line="135" w:lineRule="exact"/>
              <w:rPr>
                <w:sz w:val="20"/>
                <w:szCs w:val="20"/>
                <w:color w:val="auto"/>
              </w:rPr>
            </w:pPr>
            <w:r>
              <w:rPr>
                <w:rFonts w:ascii="Arial" w:cs="Arial" w:eastAsia="Arial" w:hAnsi="Arial"/>
                <w:sz w:val="12"/>
                <w:szCs w:val="12"/>
                <w:color w:val="auto"/>
              </w:rPr>
              <w:t>W. Troy Rudd</w:t>
            </w:r>
          </w:p>
        </w:tc>
        <w:tc>
          <w:tcPr>
            <w:tcW w:w="54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rPr>
              <w:t>100%</w:t>
            </w:r>
          </w:p>
        </w:tc>
        <w:tc>
          <w:tcPr>
            <w:tcW w:w="126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w w:val="95"/>
              </w:rPr>
              <w:t>$700,000</w:t>
            </w:r>
          </w:p>
        </w:tc>
        <w:tc>
          <w:tcPr>
            <w:tcW w:w="540" w:type="dxa"/>
            <w:vAlign w:val="bottom"/>
            <w:tcBorders>
              <w:bottom w:val="single" w:sz="8" w:color="00B2E5"/>
              <w:right w:val="single" w:sz="8" w:color="00B2E5"/>
            </w:tcBorders>
          </w:tcPr>
          <w:p>
            <w:pPr>
              <w:jc w:val="center"/>
              <w:ind w:right="61"/>
              <w:spacing w:after="0" w:line="135" w:lineRule="exact"/>
              <w:rPr>
                <w:sz w:val="20"/>
                <w:szCs w:val="20"/>
                <w:color w:val="auto"/>
              </w:rPr>
            </w:pPr>
            <w:r>
              <w:rPr>
                <w:rFonts w:ascii="Arial" w:cs="Arial" w:eastAsia="Arial" w:hAnsi="Arial"/>
                <w:sz w:val="12"/>
                <w:szCs w:val="12"/>
                <w:color w:val="auto"/>
                <w:w w:val="97"/>
              </w:rPr>
              <w:t>100%</w:t>
            </w:r>
          </w:p>
        </w:tc>
        <w:tc>
          <w:tcPr>
            <w:tcW w:w="108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w w:val="99"/>
              </w:rPr>
              <w:t>$775,000</w:t>
            </w:r>
          </w:p>
        </w:tc>
        <w:tc>
          <w:tcPr>
            <w:tcW w:w="400" w:type="dxa"/>
            <w:vAlign w:val="bottom"/>
            <w:tcBorders>
              <w:bottom w:val="single" w:sz="8" w:color="00B2E5"/>
            </w:tcBorders>
          </w:tcPr>
          <w:p>
            <w:pPr>
              <w:jc w:val="right"/>
              <w:spacing w:after="0" w:line="135" w:lineRule="exact"/>
              <w:rPr>
                <w:sz w:val="20"/>
                <w:szCs w:val="20"/>
                <w:color w:val="auto"/>
              </w:rPr>
            </w:pPr>
            <w:r>
              <w:rPr>
                <w:rFonts w:ascii="Arial" w:cs="Arial" w:eastAsia="Arial" w:hAnsi="Arial"/>
                <w:sz w:val="12"/>
                <w:szCs w:val="12"/>
                <w:color w:val="auto"/>
              </w:rPr>
              <w:t>125%</w:t>
            </w:r>
          </w:p>
        </w:tc>
        <w:tc>
          <w:tcPr>
            <w:tcW w:w="140" w:type="dxa"/>
            <w:vAlign w:val="bottom"/>
            <w:tcBorders>
              <w:bottom w:val="single" w:sz="8" w:color="00B2E5"/>
              <w:right w:val="single" w:sz="8" w:color="00B2E5"/>
            </w:tcBorders>
          </w:tcPr>
          <w:p>
            <w:pPr>
              <w:spacing w:after="0"/>
              <w:rPr>
                <w:sz w:val="11"/>
                <w:szCs w:val="11"/>
                <w:color w:val="auto"/>
              </w:rPr>
            </w:pPr>
          </w:p>
        </w:tc>
        <w:tc>
          <w:tcPr>
            <w:tcW w:w="1100" w:type="dxa"/>
            <w:vAlign w:val="bottom"/>
            <w:tcBorders>
              <w:bottom w:val="single" w:sz="8" w:color="00B2E5"/>
            </w:tcBorders>
          </w:tcPr>
          <w:p>
            <w:pPr>
              <w:jc w:val="center"/>
              <w:spacing w:after="0" w:line="135" w:lineRule="exact"/>
              <w:rPr>
                <w:sz w:val="20"/>
                <w:szCs w:val="20"/>
                <w:color w:val="auto"/>
              </w:rPr>
            </w:pPr>
            <w:r>
              <w:rPr>
                <w:rFonts w:ascii="Arial" w:cs="Arial" w:eastAsia="Arial" w:hAnsi="Arial"/>
                <w:sz w:val="12"/>
                <w:szCs w:val="12"/>
                <w:color w:val="auto"/>
                <w:w w:val="96"/>
              </w:rPr>
              <w:t>$1,250,000</w:t>
            </w:r>
          </w:p>
        </w:tc>
      </w:tr>
      <w:tr>
        <w:trPr>
          <w:trHeight w:val="135"/>
        </w:trPr>
        <w:tc>
          <w:tcPr>
            <w:tcW w:w="3420" w:type="dxa"/>
            <w:vAlign w:val="bottom"/>
            <w:tcBorders>
              <w:bottom w:val="single" w:sz="8" w:color="00B2E5"/>
              <w:right w:val="single" w:sz="8" w:color="00B2E5"/>
            </w:tcBorders>
            <w:gridSpan w:val="3"/>
          </w:tcPr>
          <w:p>
            <w:pPr>
              <w:spacing w:after="0" w:line="135" w:lineRule="exact"/>
              <w:rPr>
                <w:sz w:val="20"/>
                <w:szCs w:val="20"/>
                <w:color w:val="auto"/>
              </w:rPr>
            </w:pPr>
            <w:r>
              <w:rPr>
                <w:rFonts w:ascii="Arial" w:cs="Arial" w:eastAsia="Arial" w:hAnsi="Arial"/>
                <w:sz w:val="12"/>
                <w:szCs w:val="12"/>
                <w:color w:val="auto"/>
              </w:rPr>
              <w:t>Gaurav Kapoor</w:t>
            </w:r>
          </w:p>
        </w:tc>
        <w:tc>
          <w:tcPr>
            <w:tcW w:w="54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w w:val="99"/>
              </w:rPr>
              <w:t>60%</w:t>
            </w:r>
          </w:p>
        </w:tc>
        <w:tc>
          <w:tcPr>
            <w:tcW w:w="126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w w:val="95"/>
              </w:rPr>
              <w:t>$261,000</w:t>
            </w:r>
          </w:p>
        </w:tc>
        <w:tc>
          <w:tcPr>
            <w:tcW w:w="54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w w:val="99"/>
              </w:rPr>
              <w:t>70%</w:t>
            </w:r>
          </w:p>
        </w:tc>
        <w:tc>
          <w:tcPr>
            <w:tcW w:w="108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w w:val="99"/>
              </w:rPr>
              <w:t>$346,500</w:t>
            </w:r>
          </w:p>
        </w:tc>
        <w:tc>
          <w:tcPr>
            <w:tcW w:w="400" w:type="dxa"/>
            <w:vAlign w:val="bottom"/>
            <w:tcBorders>
              <w:bottom w:val="single" w:sz="8" w:color="00B2E5"/>
            </w:tcBorders>
          </w:tcPr>
          <w:p>
            <w:pPr>
              <w:jc w:val="right"/>
              <w:spacing w:after="0" w:line="135" w:lineRule="exact"/>
              <w:rPr>
                <w:sz w:val="20"/>
                <w:szCs w:val="20"/>
                <w:color w:val="auto"/>
              </w:rPr>
            </w:pPr>
            <w:r>
              <w:rPr>
                <w:rFonts w:ascii="Arial" w:cs="Arial" w:eastAsia="Arial" w:hAnsi="Arial"/>
                <w:sz w:val="12"/>
                <w:szCs w:val="12"/>
                <w:color w:val="auto"/>
              </w:rPr>
              <w:t>100%</w:t>
            </w:r>
          </w:p>
        </w:tc>
        <w:tc>
          <w:tcPr>
            <w:tcW w:w="140" w:type="dxa"/>
            <w:vAlign w:val="bottom"/>
            <w:tcBorders>
              <w:bottom w:val="single" w:sz="8" w:color="00B2E5"/>
              <w:right w:val="single" w:sz="8" w:color="00B2E5"/>
            </w:tcBorders>
          </w:tcPr>
          <w:p>
            <w:pPr>
              <w:spacing w:after="0"/>
              <w:rPr>
                <w:sz w:val="11"/>
                <w:szCs w:val="11"/>
                <w:color w:val="auto"/>
              </w:rPr>
            </w:pPr>
          </w:p>
        </w:tc>
        <w:tc>
          <w:tcPr>
            <w:tcW w:w="1100" w:type="dxa"/>
            <w:vAlign w:val="bottom"/>
            <w:tcBorders>
              <w:bottom w:val="single" w:sz="8" w:color="00B2E5"/>
            </w:tcBorders>
          </w:tcPr>
          <w:p>
            <w:pPr>
              <w:jc w:val="center"/>
              <w:spacing w:after="0" w:line="135" w:lineRule="exact"/>
              <w:rPr>
                <w:sz w:val="20"/>
                <w:szCs w:val="20"/>
                <w:color w:val="auto"/>
              </w:rPr>
            </w:pPr>
            <w:r>
              <w:rPr>
                <w:rFonts w:ascii="Arial" w:cs="Arial" w:eastAsia="Arial" w:hAnsi="Arial"/>
                <w:sz w:val="12"/>
                <w:szCs w:val="12"/>
                <w:color w:val="auto"/>
                <w:w w:val="99"/>
              </w:rPr>
              <w:t>$575,000</w:t>
            </w:r>
          </w:p>
        </w:tc>
      </w:tr>
      <w:tr>
        <w:trPr>
          <w:trHeight w:val="135"/>
        </w:trPr>
        <w:tc>
          <w:tcPr>
            <w:tcW w:w="3420" w:type="dxa"/>
            <w:vAlign w:val="bottom"/>
            <w:tcBorders>
              <w:bottom w:val="single" w:sz="8" w:color="00B2E5"/>
              <w:right w:val="single" w:sz="8" w:color="00B2E5"/>
            </w:tcBorders>
            <w:gridSpan w:val="3"/>
          </w:tcPr>
          <w:p>
            <w:pPr>
              <w:spacing w:after="0" w:line="135" w:lineRule="exact"/>
              <w:rPr>
                <w:sz w:val="20"/>
                <w:szCs w:val="20"/>
                <w:color w:val="auto"/>
              </w:rPr>
            </w:pPr>
            <w:r>
              <w:rPr>
                <w:rFonts w:ascii="Arial" w:cs="Arial" w:eastAsia="Arial" w:hAnsi="Arial"/>
                <w:sz w:val="12"/>
                <w:szCs w:val="12"/>
                <w:color w:val="auto"/>
              </w:rPr>
              <w:t>Lara Poloni</w:t>
            </w:r>
          </w:p>
        </w:tc>
        <w:tc>
          <w:tcPr>
            <w:tcW w:w="54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rPr>
              <w:t>100%</w:t>
            </w:r>
          </w:p>
        </w:tc>
        <w:tc>
          <w:tcPr>
            <w:tcW w:w="126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w w:val="95"/>
              </w:rPr>
              <w:t>$595,000</w:t>
            </w:r>
          </w:p>
        </w:tc>
        <w:tc>
          <w:tcPr>
            <w:tcW w:w="540" w:type="dxa"/>
            <w:vAlign w:val="bottom"/>
            <w:tcBorders>
              <w:bottom w:val="single" w:sz="8" w:color="00B2E5"/>
              <w:right w:val="single" w:sz="8" w:color="00B2E5"/>
            </w:tcBorders>
          </w:tcPr>
          <w:p>
            <w:pPr>
              <w:jc w:val="center"/>
              <w:ind w:right="61"/>
              <w:spacing w:after="0" w:line="135" w:lineRule="exact"/>
              <w:rPr>
                <w:sz w:val="20"/>
                <w:szCs w:val="20"/>
                <w:color w:val="auto"/>
              </w:rPr>
            </w:pPr>
            <w:r>
              <w:rPr>
                <w:rFonts w:ascii="Arial" w:cs="Arial" w:eastAsia="Arial" w:hAnsi="Arial"/>
                <w:sz w:val="12"/>
                <w:szCs w:val="12"/>
                <w:color w:val="auto"/>
                <w:w w:val="97"/>
              </w:rPr>
              <w:t>100%</w:t>
            </w:r>
          </w:p>
        </w:tc>
        <w:tc>
          <w:tcPr>
            <w:tcW w:w="108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w w:val="99"/>
              </w:rPr>
              <w:t>$625,000</w:t>
            </w:r>
          </w:p>
        </w:tc>
        <w:tc>
          <w:tcPr>
            <w:tcW w:w="400" w:type="dxa"/>
            <w:vAlign w:val="bottom"/>
            <w:tcBorders>
              <w:bottom w:val="single" w:sz="8" w:color="00B2E5"/>
            </w:tcBorders>
          </w:tcPr>
          <w:p>
            <w:pPr>
              <w:jc w:val="right"/>
              <w:spacing w:after="0" w:line="135" w:lineRule="exact"/>
              <w:rPr>
                <w:sz w:val="20"/>
                <w:szCs w:val="20"/>
                <w:color w:val="auto"/>
              </w:rPr>
            </w:pPr>
            <w:r>
              <w:rPr>
                <w:rFonts w:ascii="Arial" w:cs="Arial" w:eastAsia="Arial" w:hAnsi="Arial"/>
                <w:sz w:val="12"/>
                <w:szCs w:val="12"/>
                <w:color w:val="auto"/>
              </w:rPr>
              <w:t>110%</w:t>
            </w:r>
          </w:p>
        </w:tc>
        <w:tc>
          <w:tcPr>
            <w:tcW w:w="140" w:type="dxa"/>
            <w:vAlign w:val="bottom"/>
            <w:tcBorders>
              <w:bottom w:val="single" w:sz="8" w:color="00B2E5"/>
              <w:right w:val="single" w:sz="8" w:color="00B2E5"/>
            </w:tcBorders>
          </w:tcPr>
          <w:p>
            <w:pPr>
              <w:spacing w:after="0"/>
              <w:rPr>
                <w:sz w:val="11"/>
                <w:szCs w:val="11"/>
                <w:color w:val="auto"/>
              </w:rPr>
            </w:pPr>
          </w:p>
        </w:tc>
        <w:tc>
          <w:tcPr>
            <w:tcW w:w="1100" w:type="dxa"/>
            <w:vAlign w:val="bottom"/>
            <w:tcBorders>
              <w:bottom w:val="single" w:sz="8" w:color="00B2E5"/>
            </w:tcBorders>
          </w:tcPr>
          <w:p>
            <w:pPr>
              <w:jc w:val="center"/>
              <w:spacing w:after="0" w:line="135" w:lineRule="exact"/>
              <w:rPr>
                <w:sz w:val="20"/>
                <w:szCs w:val="20"/>
                <w:color w:val="auto"/>
              </w:rPr>
            </w:pPr>
            <w:r>
              <w:rPr>
                <w:rFonts w:ascii="Arial" w:cs="Arial" w:eastAsia="Arial" w:hAnsi="Arial"/>
                <w:sz w:val="12"/>
                <w:szCs w:val="12"/>
                <w:color w:val="auto"/>
                <w:w w:val="99"/>
              </w:rPr>
              <w:t>$825,000</w:t>
            </w:r>
          </w:p>
        </w:tc>
      </w:tr>
      <w:tr>
        <w:trPr>
          <w:trHeight w:val="135"/>
        </w:trPr>
        <w:tc>
          <w:tcPr>
            <w:tcW w:w="3420" w:type="dxa"/>
            <w:vAlign w:val="bottom"/>
            <w:tcBorders>
              <w:bottom w:val="single" w:sz="8" w:color="00B2E5"/>
              <w:right w:val="single" w:sz="8" w:color="00B2E5"/>
            </w:tcBorders>
            <w:gridSpan w:val="3"/>
          </w:tcPr>
          <w:p>
            <w:pPr>
              <w:spacing w:after="0" w:line="135" w:lineRule="exact"/>
              <w:rPr>
                <w:sz w:val="20"/>
                <w:szCs w:val="20"/>
                <w:color w:val="auto"/>
              </w:rPr>
            </w:pPr>
            <w:r>
              <w:rPr>
                <w:rFonts w:ascii="Arial" w:cs="Arial" w:eastAsia="Arial" w:hAnsi="Arial"/>
                <w:sz w:val="12"/>
                <w:szCs w:val="12"/>
                <w:color w:val="auto"/>
              </w:rPr>
              <w:t>Randall A. Wotring</w:t>
            </w:r>
          </w:p>
        </w:tc>
        <w:tc>
          <w:tcPr>
            <w:tcW w:w="54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rPr>
              <w:t>100%</w:t>
            </w:r>
          </w:p>
        </w:tc>
        <w:tc>
          <w:tcPr>
            <w:tcW w:w="126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w w:val="95"/>
              </w:rPr>
              <w:t>$850,000</w:t>
            </w:r>
          </w:p>
        </w:tc>
        <w:tc>
          <w:tcPr>
            <w:tcW w:w="540" w:type="dxa"/>
            <w:vAlign w:val="bottom"/>
            <w:tcBorders>
              <w:bottom w:val="single" w:sz="8" w:color="00B2E5"/>
              <w:right w:val="single" w:sz="8" w:color="00B2E5"/>
            </w:tcBorders>
          </w:tcPr>
          <w:p>
            <w:pPr>
              <w:jc w:val="center"/>
              <w:ind w:right="61"/>
              <w:spacing w:after="0" w:line="135" w:lineRule="exact"/>
              <w:rPr>
                <w:sz w:val="20"/>
                <w:szCs w:val="20"/>
                <w:color w:val="auto"/>
              </w:rPr>
            </w:pPr>
            <w:r>
              <w:rPr>
                <w:rFonts w:ascii="Arial" w:cs="Arial" w:eastAsia="Arial" w:hAnsi="Arial"/>
                <w:sz w:val="12"/>
                <w:szCs w:val="12"/>
                <w:color w:val="auto"/>
                <w:w w:val="97"/>
              </w:rPr>
              <w:t>100%</w:t>
            </w:r>
          </w:p>
        </w:tc>
        <w:tc>
          <w:tcPr>
            <w:tcW w:w="108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w w:val="99"/>
              </w:rPr>
              <w:t>$875,000</w:t>
            </w:r>
          </w:p>
        </w:tc>
        <w:tc>
          <w:tcPr>
            <w:tcW w:w="400" w:type="dxa"/>
            <w:vAlign w:val="bottom"/>
            <w:tcBorders>
              <w:bottom w:val="single" w:sz="8" w:color="00B2E5"/>
            </w:tcBorders>
          </w:tcPr>
          <w:p>
            <w:pPr>
              <w:spacing w:after="0"/>
              <w:rPr>
                <w:sz w:val="11"/>
                <w:szCs w:val="11"/>
                <w:color w:val="auto"/>
              </w:rPr>
            </w:pPr>
          </w:p>
        </w:tc>
        <w:tc>
          <w:tcPr>
            <w:tcW w:w="140" w:type="dxa"/>
            <w:vAlign w:val="bottom"/>
            <w:tcBorders>
              <w:bottom w:val="single" w:sz="8" w:color="00B2E5"/>
              <w:right w:val="single" w:sz="8" w:color="00B2E5"/>
            </w:tcBorders>
          </w:tcPr>
          <w:p>
            <w:pPr>
              <w:spacing w:after="0"/>
              <w:rPr>
                <w:sz w:val="11"/>
                <w:szCs w:val="11"/>
                <w:color w:val="auto"/>
              </w:rPr>
            </w:pPr>
          </w:p>
        </w:tc>
        <w:tc>
          <w:tcPr>
            <w:tcW w:w="1100" w:type="dxa"/>
            <w:vAlign w:val="bottom"/>
            <w:tcBorders>
              <w:bottom w:val="single" w:sz="8" w:color="00B2E5"/>
            </w:tcBorders>
          </w:tcPr>
          <w:p>
            <w:pPr>
              <w:spacing w:after="0"/>
              <w:rPr>
                <w:sz w:val="11"/>
                <w:szCs w:val="11"/>
                <w:color w:val="auto"/>
              </w:rPr>
            </w:pPr>
          </w:p>
        </w:tc>
      </w:tr>
      <w:tr>
        <w:trPr>
          <w:trHeight w:val="135"/>
        </w:trPr>
        <w:tc>
          <w:tcPr>
            <w:tcW w:w="3420" w:type="dxa"/>
            <w:vAlign w:val="bottom"/>
            <w:tcBorders>
              <w:bottom w:val="single" w:sz="8" w:color="00B2E5"/>
              <w:right w:val="single" w:sz="8" w:color="00B2E5"/>
            </w:tcBorders>
            <w:gridSpan w:val="3"/>
          </w:tcPr>
          <w:p>
            <w:pPr>
              <w:spacing w:after="0" w:line="135" w:lineRule="exact"/>
              <w:rPr>
                <w:sz w:val="20"/>
                <w:szCs w:val="20"/>
                <w:color w:val="auto"/>
              </w:rPr>
            </w:pPr>
            <w:r>
              <w:rPr>
                <w:rFonts w:ascii="Arial" w:cs="Arial" w:eastAsia="Arial" w:hAnsi="Arial"/>
                <w:sz w:val="12"/>
                <w:szCs w:val="12"/>
                <w:color w:val="auto"/>
              </w:rPr>
              <w:t>Stephen J. Morriss</w:t>
            </w:r>
          </w:p>
        </w:tc>
        <w:tc>
          <w:tcPr>
            <w:tcW w:w="54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rPr>
              <w:t>100%</w:t>
            </w:r>
          </w:p>
        </w:tc>
        <w:tc>
          <w:tcPr>
            <w:tcW w:w="126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w w:val="95"/>
              </w:rPr>
              <w:t>$640,000</w:t>
            </w:r>
          </w:p>
        </w:tc>
        <w:tc>
          <w:tcPr>
            <w:tcW w:w="540" w:type="dxa"/>
            <w:vAlign w:val="bottom"/>
            <w:tcBorders>
              <w:bottom w:val="single" w:sz="8" w:color="00B2E5"/>
              <w:right w:val="single" w:sz="8" w:color="00B2E5"/>
            </w:tcBorders>
          </w:tcPr>
          <w:p>
            <w:pPr>
              <w:jc w:val="center"/>
              <w:ind w:right="61"/>
              <w:spacing w:after="0" w:line="135" w:lineRule="exact"/>
              <w:rPr>
                <w:sz w:val="20"/>
                <w:szCs w:val="20"/>
                <w:color w:val="auto"/>
              </w:rPr>
            </w:pPr>
            <w:r>
              <w:rPr>
                <w:rFonts w:ascii="Arial" w:cs="Arial" w:eastAsia="Arial" w:hAnsi="Arial"/>
                <w:sz w:val="12"/>
                <w:szCs w:val="12"/>
                <w:color w:val="auto"/>
                <w:w w:val="97"/>
              </w:rPr>
              <w:t>100%</w:t>
            </w:r>
          </w:p>
        </w:tc>
        <w:tc>
          <w:tcPr>
            <w:tcW w:w="108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w w:val="99"/>
              </w:rPr>
              <w:t>$660,000</w:t>
            </w:r>
          </w:p>
        </w:tc>
        <w:tc>
          <w:tcPr>
            <w:tcW w:w="400" w:type="dxa"/>
            <w:vAlign w:val="bottom"/>
            <w:tcBorders>
              <w:bottom w:val="single" w:sz="8" w:color="00B2E5"/>
            </w:tcBorders>
          </w:tcPr>
          <w:p>
            <w:pPr>
              <w:spacing w:after="0"/>
              <w:rPr>
                <w:sz w:val="11"/>
                <w:szCs w:val="11"/>
                <w:color w:val="auto"/>
              </w:rPr>
            </w:pPr>
          </w:p>
        </w:tc>
        <w:tc>
          <w:tcPr>
            <w:tcW w:w="140" w:type="dxa"/>
            <w:vAlign w:val="bottom"/>
            <w:tcBorders>
              <w:bottom w:val="single" w:sz="8" w:color="00B2E5"/>
              <w:right w:val="single" w:sz="8" w:color="00B2E5"/>
            </w:tcBorders>
          </w:tcPr>
          <w:p>
            <w:pPr>
              <w:spacing w:after="0"/>
              <w:rPr>
                <w:sz w:val="11"/>
                <w:szCs w:val="11"/>
                <w:color w:val="auto"/>
              </w:rPr>
            </w:pPr>
          </w:p>
        </w:tc>
        <w:tc>
          <w:tcPr>
            <w:tcW w:w="1100" w:type="dxa"/>
            <w:vAlign w:val="bottom"/>
            <w:tcBorders>
              <w:bottom w:val="single" w:sz="8" w:color="00B2E5"/>
            </w:tcBorders>
          </w:tcPr>
          <w:p>
            <w:pPr>
              <w:spacing w:after="0"/>
              <w:rPr>
                <w:sz w:val="11"/>
                <w:szCs w:val="11"/>
                <w:color w:val="auto"/>
              </w:rPr>
            </w:pPr>
          </w:p>
        </w:tc>
      </w:tr>
      <w:tr>
        <w:trPr>
          <w:trHeight w:val="135"/>
        </w:trPr>
        <w:tc>
          <w:tcPr>
            <w:tcW w:w="3420" w:type="dxa"/>
            <w:vAlign w:val="bottom"/>
            <w:tcBorders>
              <w:bottom w:val="single" w:sz="8" w:color="00B2E5"/>
              <w:right w:val="single" w:sz="8" w:color="00B2E5"/>
            </w:tcBorders>
            <w:gridSpan w:val="3"/>
          </w:tcPr>
          <w:p>
            <w:pPr>
              <w:spacing w:after="0" w:line="135" w:lineRule="exact"/>
              <w:rPr>
                <w:sz w:val="20"/>
                <w:szCs w:val="20"/>
                <w:color w:val="auto"/>
              </w:rPr>
            </w:pPr>
            <w:r>
              <w:rPr>
                <w:rFonts w:ascii="Arial" w:cs="Arial" w:eastAsia="Arial" w:hAnsi="Arial"/>
                <w:sz w:val="12"/>
                <w:szCs w:val="12"/>
                <w:color w:val="auto"/>
              </w:rPr>
              <w:t>Michael S. Burke</w:t>
            </w:r>
          </w:p>
        </w:tc>
        <w:tc>
          <w:tcPr>
            <w:tcW w:w="54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rPr>
              <w:t>165%</w:t>
            </w:r>
          </w:p>
        </w:tc>
        <w:tc>
          <w:tcPr>
            <w:tcW w:w="1260" w:type="dxa"/>
            <w:vAlign w:val="bottom"/>
            <w:tcBorders>
              <w:bottom w:val="single" w:sz="8" w:color="00B2E5"/>
              <w:right w:val="single" w:sz="8" w:color="00B2E5"/>
            </w:tcBorders>
          </w:tcPr>
          <w:p>
            <w:pPr>
              <w:jc w:val="center"/>
              <w:ind w:right="81"/>
              <w:spacing w:after="0" w:line="135" w:lineRule="exact"/>
              <w:rPr>
                <w:sz w:val="20"/>
                <w:szCs w:val="20"/>
                <w:color w:val="auto"/>
              </w:rPr>
            </w:pPr>
            <w:r>
              <w:rPr>
                <w:rFonts w:ascii="Arial" w:cs="Arial" w:eastAsia="Arial" w:hAnsi="Arial"/>
                <w:sz w:val="12"/>
                <w:szCs w:val="12"/>
                <w:color w:val="auto"/>
                <w:w w:val="99"/>
              </w:rPr>
              <w:t>$2,475,000</w:t>
            </w:r>
          </w:p>
        </w:tc>
        <w:tc>
          <w:tcPr>
            <w:tcW w:w="540" w:type="dxa"/>
            <w:vAlign w:val="bottom"/>
            <w:tcBorders>
              <w:bottom w:val="single" w:sz="8" w:color="00B2E5"/>
              <w:right w:val="single" w:sz="8" w:color="00B2E5"/>
            </w:tcBorders>
          </w:tcPr>
          <w:p>
            <w:pPr>
              <w:ind w:left="120"/>
              <w:spacing w:after="0" w:line="135" w:lineRule="exact"/>
              <w:rPr>
                <w:sz w:val="20"/>
                <w:szCs w:val="20"/>
                <w:color w:val="auto"/>
              </w:rPr>
            </w:pPr>
            <w:r>
              <w:rPr>
                <w:rFonts w:ascii="Arial" w:cs="Arial" w:eastAsia="Arial" w:hAnsi="Arial"/>
                <w:sz w:val="12"/>
                <w:szCs w:val="12"/>
                <w:color w:val="auto"/>
              </w:rPr>
              <w:t>n/a</w:t>
            </w:r>
          </w:p>
        </w:tc>
        <w:tc>
          <w:tcPr>
            <w:tcW w:w="1080" w:type="dxa"/>
            <w:vAlign w:val="bottom"/>
            <w:tcBorders>
              <w:bottom w:val="single" w:sz="8" w:color="00B2E5"/>
              <w:right w:val="single" w:sz="8" w:color="00B2E5"/>
            </w:tcBorders>
          </w:tcPr>
          <w:p>
            <w:pPr>
              <w:jc w:val="center"/>
              <w:ind w:right="61"/>
              <w:spacing w:after="0" w:line="135" w:lineRule="exact"/>
              <w:rPr>
                <w:sz w:val="20"/>
                <w:szCs w:val="20"/>
                <w:color w:val="auto"/>
              </w:rPr>
            </w:pPr>
            <w:r>
              <w:rPr>
                <w:rFonts w:ascii="Arial" w:cs="Arial" w:eastAsia="Arial" w:hAnsi="Arial"/>
                <w:sz w:val="12"/>
                <w:szCs w:val="12"/>
                <w:color w:val="auto"/>
                <w:w w:val="95"/>
              </w:rPr>
              <w:t>n/a</w:t>
            </w:r>
          </w:p>
        </w:tc>
        <w:tc>
          <w:tcPr>
            <w:tcW w:w="400" w:type="dxa"/>
            <w:vAlign w:val="bottom"/>
            <w:tcBorders>
              <w:bottom w:val="single" w:sz="8" w:color="00B2E5"/>
            </w:tcBorders>
          </w:tcPr>
          <w:p>
            <w:pPr>
              <w:spacing w:after="0"/>
              <w:rPr>
                <w:sz w:val="11"/>
                <w:szCs w:val="11"/>
                <w:color w:val="auto"/>
              </w:rPr>
            </w:pPr>
          </w:p>
        </w:tc>
        <w:tc>
          <w:tcPr>
            <w:tcW w:w="140" w:type="dxa"/>
            <w:vAlign w:val="bottom"/>
            <w:tcBorders>
              <w:bottom w:val="single" w:sz="8" w:color="00B2E5"/>
              <w:right w:val="single" w:sz="8" w:color="00B2E5"/>
            </w:tcBorders>
          </w:tcPr>
          <w:p>
            <w:pPr>
              <w:spacing w:after="0"/>
              <w:rPr>
                <w:sz w:val="11"/>
                <w:szCs w:val="11"/>
                <w:color w:val="auto"/>
              </w:rPr>
            </w:pPr>
          </w:p>
        </w:tc>
        <w:tc>
          <w:tcPr>
            <w:tcW w:w="1100" w:type="dxa"/>
            <w:vAlign w:val="bottom"/>
            <w:tcBorders>
              <w:bottom w:val="single" w:sz="8" w:color="00B2E5"/>
            </w:tcBorders>
          </w:tcPr>
          <w:p>
            <w:pPr>
              <w:spacing w:after="0"/>
              <w:rPr>
                <w:sz w:val="11"/>
                <w:szCs w:val="11"/>
                <w:color w:val="auto"/>
              </w:rPr>
            </w:pPr>
          </w:p>
        </w:tc>
      </w:tr>
      <w:tr>
        <w:trPr>
          <w:trHeight w:val="71"/>
        </w:trPr>
        <w:tc>
          <w:tcPr>
            <w:tcW w:w="20" w:type="dxa"/>
            <w:vAlign w:val="bottom"/>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r>
    </w:tbl>
    <w:p>
      <w:pPr>
        <w:spacing w:after="0" w:line="137" w:lineRule="exact"/>
        <w:rPr>
          <w:sz w:val="20"/>
          <w:szCs w:val="20"/>
          <w:color w:val="auto"/>
        </w:rPr>
      </w:pPr>
    </w:p>
    <w:p>
      <w:pPr>
        <w:ind w:left="1720" w:hanging="371"/>
        <w:spacing w:after="0"/>
        <w:tabs>
          <w:tab w:leader="none" w:pos="1720" w:val="left"/>
        </w:tabs>
        <w:numPr>
          <w:ilvl w:val="0"/>
          <w:numId w:val="38"/>
        </w:numPr>
        <w:rPr>
          <w:rFonts w:ascii="Arial" w:cs="Arial" w:eastAsia="Arial" w:hAnsi="Arial"/>
          <w:sz w:val="10"/>
          <w:szCs w:val="10"/>
          <w:color w:val="auto"/>
        </w:rPr>
      </w:pPr>
      <w:r>
        <w:rPr>
          <w:rFonts w:ascii="Arial" w:cs="Arial" w:eastAsia="Arial" w:hAnsi="Arial"/>
          <w:sz w:val="10"/>
          <w:szCs w:val="10"/>
          <w:color w:val="auto"/>
        </w:rPr>
        <w:t>Bonus targets reflect amounts approved as part of the annual compensation planning process for the fiscal year.</w:t>
      </w:r>
    </w:p>
    <w:p>
      <w:pPr>
        <w:spacing w:after="0" w:line="103" w:lineRule="exact"/>
        <w:rPr>
          <w:rFonts w:ascii="Arial" w:cs="Arial" w:eastAsia="Arial" w:hAnsi="Arial"/>
          <w:sz w:val="10"/>
          <w:szCs w:val="10"/>
          <w:color w:val="auto"/>
        </w:rPr>
      </w:pPr>
    </w:p>
    <w:p>
      <w:pPr>
        <w:ind w:left="1720" w:hanging="371"/>
        <w:spacing w:after="0"/>
        <w:tabs>
          <w:tab w:leader="none" w:pos="1720" w:val="left"/>
        </w:tabs>
        <w:numPr>
          <w:ilvl w:val="0"/>
          <w:numId w:val="38"/>
        </w:numPr>
        <w:rPr>
          <w:rFonts w:ascii="Arial" w:cs="Arial" w:eastAsia="Arial" w:hAnsi="Arial"/>
          <w:sz w:val="10"/>
          <w:szCs w:val="10"/>
          <w:color w:val="auto"/>
        </w:rPr>
      </w:pPr>
      <w:r>
        <w:rPr>
          <w:rFonts w:ascii="Arial" w:cs="Arial" w:eastAsia="Arial" w:hAnsi="Arial"/>
          <w:sz w:val="10"/>
          <w:szCs w:val="10"/>
          <w:color w:val="auto"/>
        </w:rPr>
        <w:t>Bonus targets reflect the increased bonus targets approved in connection with the promotions for Mr. Rudd, Mr. Kapoor, and Ms. Poloni.</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3" w:name="page74"/>
    <w:bookmarkEnd w:id="73"/>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For Fiscal Year 2020, the Compensation Committee approved the following performance measures for our NEOs to support our strategy for attaining long-term profitable growth and stockholder value creation: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60" w:type="dxa"/>
            <w:vAlign w:val="bottom"/>
            <w:shd w:val="clear" w:color="auto" w:fill="00B2E5"/>
          </w:tcPr>
          <w:p>
            <w:pPr>
              <w:jc w:val="center"/>
              <w:ind w:right="104"/>
              <w:spacing w:after="0"/>
              <w:rPr>
                <w:sz w:val="20"/>
                <w:szCs w:val="20"/>
                <w:color w:val="auto"/>
              </w:rPr>
            </w:pPr>
            <w:r>
              <w:rPr>
                <w:rFonts w:ascii="Arial" w:cs="Arial" w:eastAsia="Arial" w:hAnsi="Arial"/>
                <w:sz w:val="10"/>
                <w:szCs w:val="10"/>
                <w:b w:val="1"/>
                <w:bCs w:val="1"/>
                <w:color w:val="FFFFFE"/>
                <w:w w:val="96"/>
              </w:rPr>
              <w:t>Corporate Leaders</w:t>
            </w:r>
          </w:p>
        </w:tc>
        <w:tc>
          <w:tcPr>
            <w:tcW w:w="3440" w:type="dxa"/>
            <w:vAlign w:val="bottom"/>
            <w:shd w:val="clear" w:color="auto" w:fill="00B2E5"/>
          </w:tcPr>
          <w:p>
            <w:pPr>
              <w:jc w:val="center"/>
              <w:ind w:left="463"/>
              <w:spacing w:after="0"/>
              <w:rPr>
                <w:sz w:val="20"/>
                <w:szCs w:val="20"/>
                <w:color w:val="auto"/>
              </w:rPr>
            </w:pPr>
            <w:r>
              <w:rPr>
                <w:rFonts w:ascii="Arial" w:cs="Arial" w:eastAsia="Arial" w:hAnsi="Arial"/>
                <w:sz w:val="10"/>
                <w:szCs w:val="10"/>
                <w:b w:val="1"/>
                <w:bCs w:val="1"/>
                <w:color w:val="FFFFFE"/>
                <w:w w:val="96"/>
              </w:rPr>
              <w:t>Business Unit Presidents</w:t>
            </w:r>
          </w:p>
        </w:tc>
        <w:tc>
          <w:tcPr>
            <w:tcW w:w="4200" w:type="dxa"/>
            <w:vAlign w:val="bottom"/>
            <w:shd w:val="clear" w:color="auto" w:fill="00B2E5"/>
          </w:tcPr>
          <w:p>
            <w:pPr>
              <w:ind w:left="2120"/>
              <w:spacing w:after="0"/>
              <w:rPr>
                <w:sz w:val="20"/>
                <w:szCs w:val="20"/>
                <w:color w:val="auto"/>
              </w:rPr>
            </w:pPr>
            <w:r>
              <w:rPr>
                <w:rFonts w:ascii="Arial" w:cs="Arial" w:eastAsia="Arial" w:hAnsi="Arial"/>
                <w:sz w:val="10"/>
                <w:szCs w:val="10"/>
                <w:b w:val="1"/>
                <w:bCs w:val="1"/>
                <w:color w:val="FFFFFE"/>
              </w:rPr>
              <w:t>Why Selected</w:t>
            </w:r>
          </w:p>
        </w:tc>
        <w:tc>
          <w:tcPr>
            <w:tcW w:w="0" w:type="dxa"/>
            <w:vAlign w:val="bottom"/>
          </w:tcPr>
          <w:p>
            <w:pPr>
              <w:spacing w:after="0"/>
              <w:rPr>
                <w:sz w:val="1"/>
                <w:szCs w:val="1"/>
                <w:color w:val="auto"/>
              </w:rPr>
            </w:pPr>
          </w:p>
        </w:tc>
      </w:tr>
      <w:tr>
        <w:trPr>
          <w:trHeight w:val="125"/>
        </w:trPr>
        <w:tc>
          <w:tcPr>
            <w:tcW w:w="36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4200" w:type="dxa"/>
            <w:vAlign w:val="bottom"/>
          </w:tcPr>
          <w:p>
            <w:pPr>
              <w:ind w:left="700"/>
              <w:spacing w:after="0" w:line="125" w:lineRule="exact"/>
              <w:rPr>
                <w:sz w:val="20"/>
                <w:szCs w:val="20"/>
                <w:color w:val="auto"/>
              </w:rPr>
            </w:pPr>
            <w:r>
              <w:rPr>
                <w:rFonts w:ascii="Arial" w:cs="Arial" w:eastAsia="Arial" w:hAnsi="Arial"/>
                <w:sz w:val="12"/>
                <w:szCs w:val="12"/>
                <w:color w:val="auto"/>
                <w:w w:val="99"/>
              </w:rPr>
              <w:t>Adjusted EBITDA focuses on underlying operational performance,</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4200" w:type="dxa"/>
            <w:vAlign w:val="bottom"/>
          </w:tcPr>
          <w:p>
            <w:pPr>
              <w:ind w:left="700"/>
              <w:spacing w:after="0" w:line="137" w:lineRule="exact"/>
              <w:rPr>
                <w:sz w:val="20"/>
                <w:szCs w:val="20"/>
                <w:color w:val="auto"/>
              </w:rPr>
            </w:pPr>
            <w:r>
              <w:rPr>
                <w:rFonts w:ascii="Arial" w:cs="Arial" w:eastAsia="Arial" w:hAnsi="Arial"/>
                <w:sz w:val="12"/>
                <w:szCs w:val="12"/>
                <w:color w:val="auto"/>
              </w:rPr>
              <w:t>is responsive to stockholder feedback to align compensation</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3440" w:type="dxa"/>
            <w:vAlign w:val="bottom"/>
            <w:vMerge w:val="restart"/>
          </w:tcPr>
          <w:p>
            <w:pPr>
              <w:jc w:val="center"/>
              <w:ind w:left="483"/>
              <w:spacing w:after="0"/>
              <w:rPr>
                <w:sz w:val="20"/>
                <w:szCs w:val="20"/>
                <w:color w:val="auto"/>
              </w:rPr>
            </w:pPr>
            <w:r>
              <w:rPr>
                <w:rFonts w:ascii="Arial" w:cs="Arial" w:eastAsia="Arial" w:hAnsi="Arial"/>
                <w:sz w:val="12"/>
                <w:szCs w:val="12"/>
                <w:b w:val="1"/>
                <w:bCs w:val="1"/>
                <w:color w:val="auto"/>
                <w:w w:val="98"/>
              </w:rPr>
              <w:t>Pre-Variable Compensation</w:t>
            </w:r>
          </w:p>
        </w:tc>
        <w:tc>
          <w:tcPr>
            <w:tcW w:w="4200" w:type="dxa"/>
            <w:vAlign w:val="bottom"/>
          </w:tcPr>
          <w:p>
            <w:pPr>
              <w:ind w:left="700"/>
              <w:spacing w:after="0" w:line="137" w:lineRule="exact"/>
              <w:rPr>
                <w:sz w:val="20"/>
                <w:szCs w:val="20"/>
                <w:color w:val="auto"/>
              </w:rPr>
            </w:pPr>
            <w:r>
              <w:rPr>
                <w:rFonts w:ascii="Arial" w:cs="Arial" w:eastAsia="Arial" w:hAnsi="Arial"/>
                <w:sz w:val="12"/>
                <w:szCs w:val="12"/>
                <w:color w:val="auto"/>
              </w:rPr>
              <w:t>metrics with the metrics that investors use to evaluate</w:t>
            </w:r>
          </w:p>
        </w:tc>
        <w:tc>
          <w:tcPr>
            <w:tcW w:w="0" w:type="dxa"/>
            <w:vAlign w:val="bottom"/>
          </w:tcPr>
          <w:p>
            <w:pPr>
              <w:spacing w:after="0"/>
              <w:rPr>
                <w:sz w:val="1"/>
                <w:szCs w:val="1"/>
                <w:color w:val="auto"/>
              </w:rPr>
            </w:pPr>
          </w:p>
        </w:tc>
      </w:tr>
      <w:tr>
        <w:trPr>
          <w:trHeight w:val="135"/>
        </w:trPr>
        <w:tc>
          <w:tcPr>
            <w:tcW w:w="3660" w:type="dxa"/>
            <w:vAlign w:val="bottom"/>
            <w:vMerge w:val="restart"/>
          </w:tcPr>
          <w:p>
            <w:pPr>
              <w:jc w:val="center"/>
              <w:ind w:right="104"/>
              <w:spacing w:after="0"/>
              <w:rPr>
                <w:sz w:val="20"/>
                <w:szCs w:val="20"/>
                <w:color w:val="auto"/>
              </w:rPr>
            </w:pPr>
            <w:r>
              <w:rPr>
                <w:rFonts w:ascii="Arial" w:cs="Arial" w:eastAsia="Arial" w:hAnsi="Arial"/>
                <w:sz w:val="12"/>
                <w:szCs w:val="12"/>
                <w:b w:val="1"/>
                <w:bCs w:val="1"/>
                <w:color w:val="auto"/>
                <w:w w:val="98"/>
              </w:rPr>
              <w:t>Adjusted EBITDA</w:t>
            </w:r>
          </w:p>
        </w:tc>
        <w:tc>
          <w:tcPr>
            <w:tcW w:w="3440" w:type="dxa"/>
            <w:vAlign w:val="bottom"/>
            <w:vMerge w:val="continue"/>
          </w:tcPr>
          <w:p>
            <w:pPr>
              <w:spacing w:after="0"/>
              <w:rPr>
                <w:sz w:val="11"/>
                <w:szCs w:val="11"/>
                <w:color w:val="auto"/>
              </w:rPr>
            </w:pPr>
          </w:p>
        </w:tc>
        <w:tc>
          <w:tcPr>
            <w:tcW w:w="4200" w:type="dxa"/>
            <w:vAlign w:val="bottom"/>
          </w:tcPr>
          <w:p>
            <w:pPr>
              <w:ind w:left="700"/>
              <w:spacing w:after="0" w:line="135" w:lineRule="exact"/>
              <w:rPr>
                <w:sz w:val="20"/>
                <w:szCs w:val="20"/>
                <w:color w:val="auto"/>
              </w:rPr>
            </w:pPr>
            <w:r>
              <w:rPr>
                <w:rFonts w:ascii="Arial" w:cs="Arial" w:eastAsia="Arial" w:hAnsi="Arial"/>
                <w:sz w:val="12"/>
                <w:szCs w:val="12"/>
                <w:color w:val="auto"/>
              </w:rPr>
              <w:t>performance.</w:t>
            </w:r>
          </w:p>
        </w:tc>
        <w:tc>
          <w:tcPr>
            <w:tcW w:w="0" w:type="dxa"/>
            <w:vAlign w:val="bottom"/>
          </w:tcPr>
          <w:p>
            <w:pPr>
              <w:spacing w:after="0"/>
              <w:rPr>
                <w:sz w:val="1"/>
                <w:szCs w:val="1"/>
                <w:color w:val="auto"/>
              </w:rPr>
            </w:pPr>
          </w:p>
        </w:tc>
      </w:tr>
      <w:tr>
        <w:trPr>
          <w:trHeight w:val="94"/>
        </w:trPr>
        <w:tc>
          <w:tcPr>
            <w:tcW w:w="3660" w:type="dxa"/>
            <w:vAlign w:val="bottom"/>
            <w:vMerge w:val="continue"/>
          </w:tcPr>
          <w:p>
            <w:pPr>
              <w:spacing w:after="0"/>
              <w:rPr>
                <w:sz w:val="8"/>
                <w:szCs w:val="8"/>
                <w:color w:val="auto"/>
              </w:rPr>
            </w:pPr>
          </w:p>
        </w:tc>
        <w:tc>
          <w:tcPr>
            <w:tcW w:w="3440" w:type="dxa"/>
            <w:vAlign w:val="bottom"/>
            <w:vMerge w:val="restart"/>
          </w:tcPr>
          <w:p>
            <w:pPr>
              <w:jc w:val="center"/>
              <w:ind w:left="463"/>
              <w:spacing w:after="0"/>
              <w:rPr>
                <w:sz w:val="20"/>
                <w:szCs w:val="20"/>
                <w:color w:val="auto"/>
              </w:rPr>
            </w:pPr>
            <w:r>
              <w:rPr>
                <w:rFonts w:ascii="Arial" w:cs="Arial" w:eastAsia="Arial" w:hAnsi="Arial"/>
                <w:sz w:val="12"/>
                <w:szCs w:val="12"/>
                <w:b w:val="1"/>
                <w:bCs w:val="1"/>
                <w:color w:val="auto"/>
                <w:w w:val="97"/>
              </w:rPr>
              <w:t>("Pre-VC") EBITA</w:t>
            </w:r>
          </w:p>
        </w:tc>
        <w:tc>
          <w:tcPr>
            <w:tcW w:w="4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660" w:type="dxa"/>
            <w:vAlign w:val="bottom"/>
          </w:tcPr>
          <w:p>
            <w:pPr>
              <w:spacing w:after="0"/>
              <w:rPr>
                <w:sz w:val="6"/>
                <w:szCs w:val="6"/>
                <w:color w:val="auto"/>
              </w:rPr>
            </w:pPr>
          </w:p>
        </w:tc>
        <w:tc>
          <w:tcPr>
            <w:tcW w:w="3440" w:type="dxa"/>
            <w:vAlign w:val="bottom"/>
            <w:vMerge w:val="continue"/>
          </w:tcPr>
          <w:p>
            <w:pPr>
              <w:spacing w:after="0"/>
              <w:rPr>
                <w:sz w:val="6"/>
                <w:szCs w:val="6"/>
                <w:color w:val="auto"/>
              </w:rPr>
            </w:pPr>
          </w:p>
        </w:tc>
        <w:tc>
          <w:tcPr>
            <w:tcW w:w="4200" w:type="dxa"/>
            <w:vAlign w:val="bottom"/>
            <w:vMerge w:val="restart"/>
          </w:tcPr>
          <w:p>
            <w:pPr>
              <w:ind w:left="700"/>
              <w:spacing w:after="0"/>
              <w:rPr>
                <w:sz w:val="20"/>
                <w:szCs w:val="20"/>
                <w:color w:val="auto"/>
              </w:rPr>
            </w:pPr>
            <w:r>
              <w:rPr>
                <w:rFonts w:ascii="Arial" w:cs="Arial" w:eastAsia="Arial" w:hAnsi="Arial"/>
                <w:sz w:val="12"/>
                <w:szCs w:val="12"/>
                <w:color w:val="auto"/>
                <w:w w:val="99"/>
              </w:rPr>
              <w:t>Pre-VC EBITA focuses on the "bottom-line" at the operating group</w:t>
            </w: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4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4200" w:type="dxa"/>
            <w:vAlign w:val="bottom"/>
          </w:tcPr>
          <w:p>
            <w:pPr>
              <w:ind w:left="700"/>
              <w:spacing w:after="0" w:line="137" w:lineRule="exact"/>
              <w:rPr>
                <w:sz w:val="20"/>
                <w:szCs w:val="20"/>
                <w:color w:val="auto"/>
              </w:rPr>
            </w:pPr>
            <w:r>
              <w:rPr>
                <w:rFonts w:ascii="Arial" w:cs="Arial" w:eastAsia="Arial" w:hAnsi="Arial"/>
                <w:sz w:val="12"/>
                <w:szCs w:val="12"/>
                <w:color w:val="auto"/>
              </w:rPr>
              <w:t>level and thus provides a strong measure of the operational</w:t>
            </w:r>
          </w:p>
        </w:tc>
        <w:tc>
          <w:tcPr>
            <w:tcW w:w="0" w:type="dxa"/>
            <w:vAlign w:val="bottom"/>
          </w:tcPr>
          <w:p>
            <w:pPr>
              <w:spacing w:after="0"/>
              <w:rPr>
                <w:sz w:val="1"/>
                <w:szCs w:val="1"/>
                <w:color w:val="auto"/>
              </w:rPr>
            </w:pPr>
          </w:p>
        </w:tc>
      </w:tr>
      <w:tr>
        <w:trPr>
          <w:trHeight w:val="149"/>
        </w:trPr>
        <w:tc>
          <w:tcPr>
            <w:tcW w:w="3660" w:type="dxa"/>
            <w:vAlign w:val="bottom"/>
            <w:tcBorders>
              <w:bottom w:val="single" w:sz="8" w:color="00B2E5"/>
            </w:tcBorders>
          </w:tcPr>
          <w:p>
            <w:pPr>
              <w:spacing w:after="0"/>
              <w:rPr>
                <w:sz w:val="12"/>
                <w:szCs w:val="12"/>
                <w:color w:val="auto"/>
              </w:rPr>
            </w:pPr>
          </w:p>
        </w:tc>
        <w:tc>
          <w:tcPr>
            <w:tcW w:w="3440" w:type="dxa"/>
            <w:vAlign w:val="bottom"/>
            <w:tcBorders>
              <w:bottom w:val="single" w:sz="8" w:color="00B2E5"/>
            </w:tcBorders>
          </w:tcPr>
          <w:p>
            <w:pPr>
              <w:spacing w:after="0"/>
              <w:rPr>
                <w:sz w:val="12"/>
                <w:szCs w:val="12"/>
                <w:color w:val="auto"/>
              </w:rPr>
            </w:pPr>
          </w:p>
        </w:tc>
        <w:tc>
          <w:tcPr>
            <w:tcW w:w="4200" w:type="dxa"/>
            <w:vAlign w:val="bottom"/>
            <w:tcBorders>
              <w:bottom w:val="single" w:sz="8" w:color="00B2E5"/>
            </w:tcBorders>
          </w:tcPr>
          <w:p>
            <w:pPr>
              <w:ind w:left="700"/>
              <w:spacing w:after="0"/>
              <w:rPr>
                <w:sz w:val="20"/>
                <w:szCs w:val="20"/>
                <w:color w:val="auto"/>
              </w:rPr>
            </w:pPr>
            <w:r>
              <w:rPr>
                <w:rFonts w:ascii="Arial" w:cs="Arial" w:eastAsia="Arial" w:hAnsi="Arial"/>
                <w:sz w:val="12"/>
                <w:szCs w:val="12"/>
                <w:color w:val="auto"/>
              </w:rPr>
              <w:t>contribution to enterprise profitability.</w:t>
            </w:r>
          </w:p>
        </w:tc>
        <w:tc>
          <w:tcPr>
            <w:tcW w:w="0" w:type="dxa"/>
            <w:vAlign w:val="bottom"/>
          </w:tcPr>
          <w:p>
            <w:pPr>
              <w:spacing w:after="0"/>
              <w:rPr>
                <w:sz w:val="1"/>
                <w:szCs w:val="1"/>
                <w:color w:val="auto"/>
              </w:rPr>
            </w:pPr>
          </w:p>
        </w:tc>
      </w:tr>
      <w:tr>
        <w:trPr>
          <w:trHeight w:val="114"/>
        </w:trPr>
        <w:tc>
          <w:tcPr>
            <w:tcW w:w="36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4200" w:type="dxa"/>
            <w:vAlign w:val="bottom"/>
          </w:tcPr>
          <w:p>
            <w:pPr>
              <w:ind w:left="700"/>
              <w:spacing w:after="0" w:line="114" w:lineRule="exact"/>
              <w:rPr>
                <w:sz w:val="20"/>
                <w:szCs w:val="20"/>
                <w:color w:val="auto"/>
              </w:rPr>
            </w:pPr>
            <w:r>
              <w:rPr>
                <w:rFonts w:ascii="Arial" w:cs="Arial" w:eastAsia="Arial" w:hAnsi="Arial"/>
                <w:sz w:val="12"/>
                <w:szCs w:val="12"/>
                <w:color w:val="auto"/>
              </w:rPr>
              <w:t>NSR Operating Margin focuses on underlying operational</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4200" w:type="dxa"/>
            <w:vAlign w:val="bottom"/>
          </w:tcPr>
          <w:p>
            <w:pPr>
              <w:ind w:left="700"/>
              <w:spacing w:after="0" w:line="137" w:lineRule="exact"/>
              <w:rPr>
                <w:sz w:val="20"/>
                <w:szCs w:val="20"/>
                <w:color w:val="auto"/>
              </w:rPr>
            </w:pPr>
            <w:r>
              <w:rPr>
                <w:rFonts w:ascii="Arial" w:cs="Arial" w:eastAsia="Arial" w:hAnsi="Arial"/>
                <w:sz w:val="12"/>
                <w:szCs w:val="12"/>
                <w:color w:val="auto"/>
              </w:rPr>
              <w:t>performance, including executing on restructuring and margin</w:t>
            </w: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4200" w:type="dxa"/>
            <w:vAlign w:val="bottom"/>
          </w:tcPr>
          <w:p>
            <w:pPr>
              <w:ind w:left="700"/>
              <w:spacing w:after="0" w:line="137" w:lineRule="exact"/>
              <w:rPr>
                <w:sz w:val="20"/>
                <w:szCs w:val="20"/>
                <w:color w:val="auto"/>
              </w:rPr>
            </w:pPr>
            <w:r>
              <w:rPr>
                <w:rFonts w:ascii="Arial" w:cs="Arial" w:eastAsia="Arial" w:hAnsi="Arial"/>
                <w:sz w:val="12"/>
                <w:szCs w:val="12"/>
                <w:color w:val="auto"/>
              </w:rPr>
              <w:t>enhancing initiatives while focusing business development time</w:t>
            </w: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4200" w:type="dxa"/>
            <w:vAlign w:val="bottom"/>
          </w:tcPr>
          <w:p>
            <w:pPr>
              <w:ind w:left="700"/>
              <w:spacing w:after="0"/>
              <w:rPr>
                <w:sz w:val="20"/>
                <w:szCs w:val="20"/>
                <w:color w:val="auto"/>
              </w:rPr>
            </w:pPr>
            <w:r>
              <w:rPr>
                <w:rFonts w:ascii="Arial" w:cs="Arial" w:eastAsia="Arial" w:hAnsi="Arial"/>
                <w:sz w:val="12"/>
                <w:szCs w:val="12"/>
                <w:color w:val="auto"/>
              </w:rPr>
              <w:t>and capital on the most profitable opportunities.</w:t>
            </w:r>
          </w:p>
        </w:tc>
        <w:tc>
          <w:tcPr>
            <w:tcW w:w="0" w:type="dxa"/>
            <w:vAlign w:val="bottom"/>
          </w:tcPr>
          <w:p>
            <w:pPr>
              <w:spacing w:after="0"/>
              <w:rPr>
                <w:sz w:val="1"/>
                <w:szCs w:val="1"/>
                <w:color w:val="auto"/>
              </w:rPr>
            </w:pPr>
          </w:p>
        </w:tc>
      </w:tr>
      <w:tr>
        <w:trPr>
          <w:trHeight w:val="237"/>
        </w:trPr>
        <w:tc>
          <w:tcPr>
            <w:tcW w:w="3660" w:type="dxa"/>
            <w:vAlign w:val="bottom"/>
          </w:tcPr>
          <w:p>
            <w:pPr>
              <w:jc w:val="center"/>
              <w:ind w:right="124"/>
              <w:spacing w:after="0"/>
              <w:rPr>
                <w:sz w:val="20"/>
                <w:szCs w:val="20"/>
                <w:color w:val="auto"/>
              </w:rPr>
            </w:pPr>
            <w:r>
              <w:rPr>
                <w:rFonts w:ascii="Arial" w:cs="Arial" w:eastAsia="Arial" w:hAnsi="Arial"/>
                <w:sz w:val="12"/>
                <w:szCs w:val="12"/>
                <w:b w:val="1"/>
                <w:bCs w:val="1"/>
                <w:color w:val="auto"/>
                <w:w w:val="98"/>
              </w:rPr>
              <w:t>NSR Operating Margin %</w:t>
            </w:r>
          </w:p>
        </w:tc>
        <w:tc>
          <w:tcPr>
            <w:tcW w:w="3440" w:type="dxa"/>
            <w:vAlign w:val="bottom"/>
          </w:tcPr>
          <w:p>
            <w:pPr>
              <w:jc w:val="center"/>
              <w:ind w:left="483"/>
              <w:spacing w:after="0"/>
              <w:rPr>
                <w:sz w:val="20"/>
                <w:szCs w:val="20"/>
                <w:color w:val="auto"/>
              </w:rPr>
            </w:pPr>
            <w:r>
              <w:rPr>
                <w:rFonts w:ascii="Arial" w:cs="Arial" w:eastAsia="Arial" w:hAnsi="Arial"/>
                <w:sz w:val="12"/>
                <w:szCs w:val="12"/>
                <w:b w:val="1"/>
                <w:bCs w:val="1"/>
                <w:color w:val="auto"/>
                <w:w w:val="98"/>
              </w:rPr>
              <w:t>Operating Cash Flow</w:t>
            </w:r>
          </w:p>
        </w:tc>
        <w:tc>
          <w:tcPr>
            <w:tcW w:w="4200" w:type="dxa"/>
            <w:vAlign w:val="bottom"/>
          </w:tcPr>
          <w:p>
            <w:pPr>
              <w:ind w:left="700"/>
              <w:spacing w:after="0"/>
              <w:rPr>
                <w:sz w:val="20"/>
                <w:szCs w:val="20"/>
                <w:color w:val="auto"/>
              </w:rPr>
            </w:pPr>
            <w:r>
              <w:rPr>
                <w:rFonts w:ascii="Arial" w:cs="Arial" w:eastAsia="Arial" w:hAnsi="Arial"/>
                <w:sz w:val="12"/>
                <w:szCs w:val="12"/>
                <w:color w:val="auto"/>
              </w:rPr>
              <w:t>Cash Flow incentivizes disciplined growth and risk management,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-504190</wp:posOffset>
            </wp:positionV>
            <wp:extent cx="7176770" cy="1024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770" cy="1024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3"/>
        </w:trPr>
        <w:tc>
          <w:tcPr>
            <w:tcW w:w="7140" w:type="dxa"/>
            <w:vAlign w:val="bottom"/>
          </w:tcPr>
          <w:p>
            <w:pPr>
              <w:spacing w:after="0"/>
              <w:rPr>
                <w:sz w:val="10"/>
                <w:szCs w:val="10"/>
                <w:color w:val="auto"/>
              </w:rPr>
            </w:pPr>
          </w:p>
        </w:tc>
        <w:tc>
          <w:tcPr>
            <w:tcW w:w="4160" w:type="dxa"/>
            <w:vAlign w:val="bottom"/>
          </w:tcPr>
          <w:p>
            <w:pPr>
              <w:ind w:left="660"/>
              <w:spacing w:after="0" w:line="123" w:lineRule="exact"/>
              <w:rPr>
                <w:sz w:val="20"/>
                <w:szCs w:val="20"/>
                <w:color w:val="auto"/>
              </w:rPr>
            </w:pPr>
            <w:r>
              <w:rPr>
                <w:rFonts w:ascii="Arial" w:cs="Arial" w:eastAsia="Arial" w:hAnsi="Arial"/>
                <w:sz w:val="12"/>
                <w:szCs w:val="12"/>
                <w:color w:val="auto"/>
                <w:w w:val="98"/>
              </w:rPr>
              <w:t>operational efficiency and working capital management. It ensures</w:t>
            </w:r>
          </w:p>
        </w:tc>
        <w:tc>
          <w:tcPr>
            <w:tcW w:w="0" w:type="dxa"/>
            <w:vAlign w:val="bottom"/>
          </w:tcPr>
          <w:p>
            <w:pPr>
              <w:spacing w:after="0"/>
              <w:rPr>
                <w:sz w:val="1"/>
                <w:szCs w:val="1"/>
                <w:color w:val="auto"/>
              </w:rPr>
            </w:pPr>
          </w:p>
        </w:tc>
      </w:tr>
      <w:tr>
        <w:trPr>
          <w:trHeight w:val="137"/>
        </w:trPr>
        <w:tc>
          <w:tcPr>
            <w:tcW w:w="7140" w:type="dxa"/>
            <w:vAlign w:val="bottom"/>
          </w:tcPr>
          <w:p>
            <w:pPr>
              <w:spacing w:after="0"/>
              <w:rPr>
                <w:sz w:val="11"/>
                <w:szCs w:val="11"/>
                <w:color w:val="auto"/>
              </w:rPr>
            </w:pPr>
          </w:p>
        </w:tc>
        <w:tc>
          <w:tcPr>
            <w:tcW w:w="4160" w:type="dxa"/>
            <w:vAlign w:val="bottom"/>
          </w:tcPr>
          <w:p>
            <w:pPr>
              <w:ind w:left="660"/>
              <w:spacing w:after="0" w:line="137" w:lineRule="exact"/>
              <w:rPr>
                <w:sz w:val="20"/>
                <w:szCs w:val="20"/>
                <w:color w:val="auto"/>
              </w:rPr>
            </w:pPr>
            <w:r>
              <w:rPr>
                <w:rFonts w:ascii="Arial" w:cs="Arial" w:eastAsia="Arial" w:hAnsi="Arial"/>
                <w:sz w:val="12"/>
                <w:szCs w:val="12"/>
                <w:color w:val="auto"/>
              </w:rPr>
              <w:t>working capital management is prioritized as a key contributor to</w:t>
            </w:r>
          </w:p>
        </w:tc>
        <w:tc>
          <w:tcPr>
            <w:tcW w:w="0" w:type="dxa"/>
            <w:vAlign w:val="bottom"/>
          </w:tcPr>
          <w:p>
            <w:pPr>
              <w:spacing w:after="0"/>
              <w:rPr>
                <w:sz w:val="1"/>
                <w:szCs w:val="1"/>
                <w:color w:val="auto"/>
              </w:rPr>
            </w:pPr>
          </w:p>
        </w:tc>
      </w:tr>
      <w:tr>
        <w:trPr>
          <w:trHeight w:val="137"/>
        </w:trPr>
        <w:tc>
          <w:tcPr>
            <w:tcW w:w="7140" w:type="dxa"/>
            <w:vAlign w:val="bottom"/>
          </w:tcPr>
          <w:p>
            <w:pPr>
              <w:spacing w:after="0"/>
              <w:rPr>
                <w:sz w:val="11"/>
                <w:szCs w:val="11"/>
                <w:color w:val="auto"/>
              </w:rPr>
            </w:pPr>
          </w:p>
        </w:tc>
        <w:tc>
          <w:tcPr>
            <w:tcW w:w="4160" w:type="dxa"/>
            <w:vAlign w:val="bottom"/>
          </w:tcPr>
          <w:p>
            <w:pPr>
              <w:ind w:left="660"/>
              <w:spacing w:after="0" w:line="137" w:lineRule="exact"/>
              <w:rPr>
                <w:sz w:val="20"/>
                <w:szCs w:val="20"/>
                <w:color w:val="auto"/>
              </w:rPr>
            </w:pPr>
            <w:r>
              <w:rPr>
                <w:rFonts w:ascii="Arial" w:cs="Arial" w:eastAsia="Arial" w:hAnsi="Arial"/>
                <w:sz w:val="12"/>
                <w:szCs w:val="12"/>
                <w:color w:val="auto"/>
                <w:w w:val="99"/>
              </w:rPr>
              <w:t>long-term performance and ROIC, and strong operating cash flow</w:t>
            </w:r>
          </w:p>
        </w:tc>
        <w:tc>
          <w:tcPr>
            <w:tcW w:w="0" w:type="dxa"/>
            <w:vAlign w:val="bottom"/>
          </w:tcPr>
          <w:p>
            <w:pPr>
              <w:spacing w:after="0"/>
              <w:rPr>
                <w:sz w:val="1"/>
                <w:szCs w:val="1"/>
                <w:color w:val="auto"/>
              </w:rPr>
            </w:pPr>
          </w:p>
        </w:tc>
      </w:tr>
      <w:tr>
        <w:trPr>
          <w:trHeight w:val="137"/>
        </w:trPr>
        <w:tc>
          <w:tcPr>
            <w:tcW w:w="7140" w:type="dxa"/>
            <w:vAlign w:val="bottom"/>
          </w:tcPr>
          <w:p>
            <w:pPr>
              <w:spacing w:after="0"/>
              <w:rPr>
                <w:sz w:val="11"/>
                <w:szCs w:val="11"/>
                <w:color w:val="auto"/>
              </w:rPr>
            </w:pPr>
          </w:p>
        </w:tc>
        <w:tc>
          <w:tcPr>
            <w:tcW w:w="4160" w:type="dxa"/>
            <w:vAlign w:val="bottom"/>
          </w:tcPr>
          <w:p>
            <w:pPr>
              <w:ind w:left="660"/>
              <w:spacing w:after="0" w:line="137" w:lineRule="exact"/>
              <w:rPr>
                <w:sz w:val="20"/>
                <w:szCs w:val="20"/>
                <w:color w:val="auto"/>
              </w:rPr>
            </w:pPr>
            <w:r>
              <w:rPr>
                <w:rFonts w:ascii="Arial" w:cs="Arial" w:eastAsia="Arial" w:hAnsi="Arial"/>
                <w:sz w:val="12"/>
                <w:szCs w:val="12"/>
                <w:color w:val="auto"/>
              </w:rPr>
              <w:t>supports the Company's capital allocation policy to return</w:t>
            </w:r>
          </w:p>
        </w:tc>
        <w:tc>
          <w:tcPr>
            <w:tcW w:w="0" w:type="dxa"/>
            <w:vAlign w:val="bottom"/>
          </w:tcPr>
          <w:p>
            <w:pPr>
              <w:spacing w:after="0"/>
              <w:rPr>
                <w:sz w:val="1"/>
                <w:szCs w:val="1"/>
                <w:color w:val="auto"/>
              </w:rPr>
            </w:pPr>
          </w:p>
        </w:tc>
      </w:tr>
      <w:tr>
        <w:trPr>
          <w:trHeight w:val="137"/>
        </w:trPr>
        <w:tc>
          <w:tcPr>
            <w:tcW w:w="7140" w:type="dxa"/>
            <w:vAlign w:val="bottom"/>
          </w:tcPr>
          <w:p>
            <w:pPr>
              <w:spacing w:after="0"/>
              <w:rPr>
                <w:sz w:val="11"/>
                <w:szCs w:val="11"/>
                <w:color w:val="auto"/>
              </w:rPr>
            </w:pPr>
          </w:p>
        </w:tc>
        <w:tc>
          <w:tcPr>
            <w:tcW w:w="4160" w:type="dxa"/>
            <w:vAlign w:val="bottom"/>
          </w:tcPr>
          <w:p>
            <w:pPr>
              <w:ind w:left="660"/>
              <w:spacing w:after="0" w:line="137" w:lineRule="exact"/>
              <w:rPr>
                <w:sz w:val="20"/>
                <w:szCs w:val="20"/>
                <w:color w:val="auto"/>
              </w:rPr>
            </w:pPr>
            <w:r>
              <w:rPr>
                <w:rFonts w:ascii="Arial" w:cs="Arial" w:eastAsia="Arial" w:hAnsi="Arial"/>
                <w:sz w:val="12"/>
                <w:szCs w:val="12"/>
                <w:color w:val="auto"/>
                <w:w w:val="99"/>
              </w:rPr>
              <w:t>substantially all cash and cash flow to stockholders through share</w:t>
            </w:r>
          </w:p>
        </w:tc>
        <w:tc>
          <w:tcPr>
            <w:tcW w:w="0" w:type="dxa"/>
            <w:vAlign w:val="bottom"/>
          </w:tcPr>
          <w:p>
            <w:pPr>
              <w:spacing w:after="0"/>
              <w:rPr>
                <w:sz w:val="1"/>
                <w:szCs w:val="1"/>
                <w:color w:val="auto"/>
              </w:rPr>
            </w:pPr>
          </w:p>
        </w:tc>
      </w:tr>
      <w:tr>
        <w:trPr>
          <w:trHeight w:val="149"/>
        </w:trPr>
        <w:tc>
          <w:tcPr>
            <w:tcW w:w="7140" w:type="dxa"/>
            <w:vAlign w:val="bottom"/>
            <w:tcBorders>
              <w:bottom w:val="single" w:sz="8" w:color="00B2E5"/>
            </w:tcBorders>
          </w:tcPr>
          <w:p>
            <w:pPr>
              <w:spacing w:after="0"/>
              <w:rPr>
                <w:sz w:val="12"/>
                <w:szCs w:val="12"/>
                <w:color w:val="auto"/>
              </w:rPr>
            </w:pPr>
          </w:p>
        </w:tc>
        <w:tc>
          <w:tcPr>
            <w:tcW w:w="4160" w:type="dxa"/>
            <w:vAlign w:val="bottom"/>
            <w:tcBorders>
              <w:bottom w:val="single" w:sz="8" w:color="00B2E5"/>
            </w:tcBorders>
          </w:tcPr>
          <w:p>
            <w:pPr>
              <w:ind w:left="660"/>
              <w:spacing w:after="0"/>
              <w:rPr>
                <w:sz w:val="20"/>
                <w:szCs w:val="20"/>
                <w:color w:val="auto"/>
              </w:rPr>
            </w:pPr>
            <w:r>
              <w:rPr>
                <w:rFonts w:ascii="Arial" w:cs="Arial" w:eastAsia="Arial" w:hAnsi="Arial"/>
                <w:sz w:val="12"/>
                <w:szCs w:val="12"/>
                <w:color w:val="auto"/>
              </w:rPr>
              <w:t>repurchases.</w:t>
            </w:r>
          </w:p>
        </w:tc>
        <w:tc>
          <w:tcPr>
            <w:tcW w:w="0" w:type="dxa"/>
            <w:vAlign w:val="bottom"/>
          </w:tcPr>
          <w:p>
            <w:pPr>
              <w:spacing w:after="0"/>
              <w:rPr>
                <w:sz w:val="1"/>
                <w:szCs w:val="1"/>
                <w:color w:val="auto"/>
              </w:rPr>
            </w:pPr>
          </w:p>
        </w:tc>
      </w:tr>
      <w:tr>
        <w:trPr>
          <w:trHeight w:val="114"/>
        </w:trPr>
        <w:tc>
          <w:tcPr>
            <w:tcW w:w="7140" w:type="dxa"/>
            <w:vAlign w:val="bottom"/>
            <w:vMerge w:val="restart"/>
          </w:tcPr>
          <w:p>
            <w:pPr>
              <w:jc w:val="right"/>
              <w:ind w:right="2061"/>
              <w:spacing w:after="0"/>
              <w:rPr>
                <w:sz w:val="20"/>
                <w:szCs w:val="20"/>
                <w:color w:val="auto"/>
              </w:rPr>
            </w:pPr>
            <w:r>
              <w:rPr>
                <w:rFonts w:ascii="Arial" w:cs="Arial" w:eastAsia="Arial" w:hAnsi="Arial"/>
                <w:sz w:val="12"/>
                <w:szCs w:val="12"/>
                <w:b w:val="1"/>
                <w:bCs w:val="1"/>
                <w:color w:val="auto"/>
              </w:rPr>
              <w:t>Key Performance Indicator ("KPI") Assessment</w:t>
            </w:r>
          </w:p>
        </w:tc>
        <w:tc>
          <w:tcPr>
            <w:tcW w:w="4160" w:type="dxa"/>
            <w:vAlign w:val="bottom"/>
          </w:tcPr>
          <w:p>
            <w:pPr>
              <w:ind w:left="660"/>
              <w:spacing w:after="0" w:line="114" w:lineRule="exact"/>
              <w:rPr>
                <w:sz w:val="20"/>
                <w:szCs w:val="20"/>
                <w:color w:val="auto"/>
              </w:rPr>
            </w:pPr>
            <w:r>
              <w:rPr>
                <w:rFonts w:ascii="Arial" w:cs="Arial" w:eastAsia="Arial" w:hAnsi="Arial"/>
                <w:sz w:val="12"/>
                <w:szCs w:val="12"/>
                <w:color w:val="auto"/>
              </w:rPr>
              <w:t>Encourages focus on the achievement of the Company's non-</w:t>
            </w:r>
          </w:p>
        </w:tc>
        <w:tc>
          <w:tcPr>
            <w:tcW w:w="0" w:type="dxa"/>
            <w:vAlign w:val="bottom"/>
          </w:tcPr>
          <w:p>
            <w:pPr>
              <w:spacing w:after="0"/>
              <w:rPr>
                <w:sz w:val="1"/>
                <w:szCs w:val="1"/>
                <w:color w:val="auto"/>
              </w:rPr>
            </w:pPr>
          </w:p>
        </w:tc>
      </w:tr>
      <w:tr>
        <w:trPr>
          <w:trHeight w:val="92"/>
        </w:trPr>
        <w:tc>
          <w:tcPr>
            <w:tcW w:w="7140" w:type="dxa"/>
            <w:vAlign w:val="bottom"/>
            <w:vMerge w:val="continue"/>
          </w:tcPr>
          <w:p>
            <w:pPr>
              <w:spacing w:after="0"/>
              <w:rPr>
                <w:sz w:val="8"/>
                <w:szCs w:val="8"/>
                <w:color w:val="auto"/>
              </w:rPr>
            </w:pPr>
          </w:p>
        </w:tc>
        <w:tc>
          <w:tcPr>
            <w:tcW w:w="4160" w:type="dxa"/>
            <w:vAlign w:val="bottom"/>
            <w:vMerge w:val="restart"/>
          </w:tcPr>
          <w:p>
            <w:pPr>
              <w:ind w:left="660"/>
              <w:spacing w:after="0"/>
              <w:rPr>
                <w:sz w:val="20"/>
                <w:szCs w:val="20"/>
                <w:color w:val="auto"/>
              </w:rPr>
            </w:pPr>
            <w:r>
              <w:rPr>
                <w:rFonts w:ascii="Arial" w:cs="Arial" w:eastAsia="Arial" w:hAnsi="Arial"/>
                <w:sz w:val="12"/>
                <w:szCs w:val="12"/>
                <w:color w:val="auto"/>
              </w:rPr>
              <w:t>financial strategic objectives including sustainability and ESG</w:t>
            </w:r>
          </w:p>
        </w:tc>
        <w:tc>
          <w:tcPr>
            <w:tcW w:w="0" w:type="dxa"/>
            <w:vAlign w:val="bottom"/>
          </w:tcPr>
          <w:p>
            <w:pPr>
              <w:spacing w:after="0"/>
              <w:rPr>
                <w:sz w:val="1"/>
                <w:szCs w:val="1"/>
                <w:color w:val="auto"/>
              </w:rPr>
            </w:pPr>
          </w:p>
        </w:tc>
      </w:tr>
      <w:tr>
        <w:trPr>
          <w:trHeight w:val="67"/>
        </w:trPr>
        <w:tc>
          <w:tcPr>
            <w:tcW w:w="7140" w:type="dxa"/>
            <w:vAlign w:val="bottom"/>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7140" w:type="dxa"/>
            <w:vAlign w:val="bottom"/>
          </w:tcPr>
          <w:p>
            <w:pPr>
              <w:jc w:val="right"/>
              <w:ind w:right="581"/>
              <w:spacing w:after="0"/>
              <w:rPr>
                <w:sz w:val="20"/>
                <w:szCs w:val="20"/>
                <w:color w:val="auto"/>
              </w:rPr>
            </w:pPr>
            <w:r>
              <w:rPr>
                <w:rFonts w:ascii="Arial" w:cs="Arial" w:eastAsia="Arial" w:hAnsi="Arial"/>
                <w:sz w:val="12"/>
                <w:szCs w:val="12"/>
                <w:color w:val="auto"/>
                <w:w w:val="98"/>
              </w:rPr>
              <w:t>Targets for the financial metrics above aligned with earnings guidance provided to our stockholders and/or our financial plan.</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40" w:type="dxa"/>
            <w:vAlign w:val="bottom"/>
          </w:tcPr>
          <w:p>
            <w:pPr>
              <w:jc w:val="right"/>
              <w:ind w:right="1381"/>
              <w:spacing w:after="0"/>
              <w:rPr>
                <w:sz w:val="20"/>
                <w:szCs w:val="20"/>
                <w:color w:val="auto"/>
              </w:rPr>
            </w:pPr>
            <w:r>
              <w:rPr>
                <w:rFonts w:ascii="Arial" w:cs="Arial" w:eastAsia="Arial" w:hAnsi="Arial"/>
                <w:sz w:val="12"/>
                <w:szCs w:val="12"/>
                <w:color w:val="auto"/>
              </w:rPr>
              <w:t>50</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7140" w:type="dxa"/>
            <w:vAlign w:val="bottom"/>
            <w:tcBorders>
              <w:bottom w:val="single" w:sz="8" w:color="808080"/>
            </w:tcBorders>
          </w:tcPr>
          <w:p>
            <w:pPr>
              <w:spacing w:after="0"/>
              <w:rPr>
                <w:sz w:val="12"/>
                <w:szCs w:val="12"/>
                <w:color w:val="auto"/>
              </w:rPr>
            </w:pPr>
          </w:p>
        </w:tc>
        <w:tc>
          <w:tcPr>
            <w:tcW w:w="41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7163435</wp:posOffset>
            </wp:positionH>
            <wp:positionV relativeFrom="paragraph">
              <wp:posOffset>-11430</wp:posOffset>
            </wp:positionV>
            <wp:extent cx="1270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4" w:name="page75"/>
    <w:bookmarkEnd w:id="74"/>
    <w:p>
      <w:pPr>
        <w:ind w:left="7"/>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176770" cy="114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8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00B2E5"/>
        </w:rPr>
        <w:t>Annual Incentive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76770" cy="114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ind w:left="7"/>
        <w:spacing w:after="0"/>
        <w:rPr>
          <w:sz w:val="20"/>
          <w:szCs w:val="20"/>
          <w:color w:val="auto"/>
        </w:rPr>
      </w:pPr>
      <w:r>
        <w:rPr>
          <w:rFonts w:ascii="Arial" w:cs="Arial" w:eastAsia="Arial" w:hAnsi="Arial"/>
          <w:sz w:val="12"/>
          <w:szCs w:val="12"/>
          <w:color w:val="auto"/>
        </w:rPr>
        <w:t>For the Fiscal Year 2020 annual cash bonus, the following details the percentages earned by the following NEOs:</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2"/>
          <w:szCs w:val="12"/>
          <w:color w:val="auto"/>
        </w:rPr>
        <w:t>Mr. Rudd's bonus was calculated pro-rata based on his time as Chief Financial Officer and time as Chief Executive Officer using the same metrics.</w:t>
      </w:r>
    </w:p>
    <w:p>
      <w:pPr>
        <w:spacing w:after="0" w:line="142"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jc w:val="right"/>
              <w:ind w:right="351"/>
              <w:spacing w:after="0"/>
              <w:rPr>
                <w:sz w:val="20"/>
                <w:szCs w:val="20"/>
                <w:color w:val="auto"/>
              </w:rPr>
            </w:pPr>
            <w:r>
              <w:rPr>
                <w:rFonts w:ascii="Arial" w:cs="Arial" w:eastAsia="Arial" w:hAnsi="Arial"/>
                <w:sz w:val="10"/>
                <w:szCs w:val="10"/>
                <w:b w:val="1"/>
                <w:bCs w:val="1"/>
                <w:color w:val="auto"/>
              </w:rPr>
              <w:t>Weighting</w:t>
            </w:r>
          </w:p>
        </w:tc>
        <w:tc>
          <w:tcPr>
            <w:tcW w:w="920" w:type="dxa"/>
            <w:vAlign w:val="bottom"/>
            <w:gridSpan w:val="2"/>
          </w:tcPr>
          <w:p>
            <w:pPr>
              <w:jc w:val="right"/>
              <w:ind w:right="331"/>
              <w:spacing w:after="0"/>
              <w:rPr>
                <w:sz w:val="20"/>
                <w:szCs w:val="20"/>
                <w:color w:val="auto"/>
              </w:rPr>
            </w:pPr>
            <w:r>
              <w:rPr>
                <w:rFonts w:ascii="Arial" w:cs="Arial" w:eastAsia="Arial" w:hAnsi="Arial"/>
                <w:sz w:val="10"/>
                <w:szCs w:val="10"/>
                <w:b w:val="1"/>
                <w:bCs w:val="1"/>
                <w:color w:val="auto"/>
              </w:rPr>
              <w:t>Threshold</w:t>
            </w:r>
          </w:p>
        </w:tc>
        <w:tc>
          <w:tcPr>
            <w:tcW w:w="140" w:type="dxa"/>
            <w:vAlign w:val="bottom"/>
          </w:tcPr>
          <w:p>
            <w:pPr>
              <w:spacing w:after="0"/>
              <w:rPr>
                <w:sz w:val="10"/>
                <w:szCs w:val="10"/>
                <w:color w:val="auto"/>
              </w:rPr>
            </w:pPr>
          </w:p>
        </w:tc>
        <w:tc>
          <w:tcPr>
            <w:tcW w:w="800" w:type="dxa"/>
            <w:vAlign w:val="bottom"/>
          </w:tcPr>
          <w:p>
            <w:pPr>
              <w:jc w:val="right"/>
              <w:ind w:right="431"/>
              <w:spacing w:after="0"/>
              <w:rPr>
                <w:sz w:val="20"/>
                <w:szCs w:val="20"/>
                <w:color w:val="auto"/>
              </w:rPr>
            </w:pPr>
            <w:r>
              <w:rPr>
                <w:rFonts w:ascii="Arial" w:cs="Arial" w:eastAsia="Arial" w:hAnsi="Arial"/>
                <w:sz w:val="10"/>
                <w:szCs w:val="10"/>
                <w:b w:val="1"/>
                <w:bCs w:val="1"/>
                <w:color w:val="auto"/>
                <w:w w:val="98"/>
              </w:rPr>
              <w:t>Target</w:t>
            </w:r>
          </w:p>
        </w:tc>
        <w:tc>
          <w:tcPr>
            <w:tcW w:w="920" w:type="dxa"/>
            <w:vAlign w:val="bottom"/>
            <w:gridSpan w:val="2"/>
          </w:tcPr>
          <w:p>
            <w:pPr>
              <w:jc w:val="right"/>
              <w:ind w:right="331"/>
              <w:spacing w:after="0"/>
              <w:rPr>
                <w:sz w:val="20"/>
                <w:szCs w:val="20"/>
                <w:color w:val="auto"/>
              </w:rPr>
            </w:pPr>
            <w:r>
              <w:rPr>
                <w:rFonts w:ascii="Arial" w:cs="Arial" w:eastAsia="Arial" w:hAnsi="Arial"/>
                <w:sz w:val="10"/>
                <w:szCs w:val="10"/>
                <w:b w:val="1"/>
                <w:bCs w:val="1"/>
                <w:color w:val="auto"/>
              </w:rPr>
              <w:t>Maximum</w:t>
            </w:r>
          </w:p>
        </w:tc>
        <w:tc>
          <w:tcPr>
            <w:tcW w:w="100" w:type="dxa"/>
            <w:vAlign w:val="bottom"/>
          </w:tcPr>
          <w:p>
            <w:pPr>
              <w:spacing w:after="0"/>
              <w:rPr>
                <w:sz w:val="10"/>
                <w:szCs w:val="10"/>
                <w:color w:val="auto"/>
              </w:rPr>
            </w:pPr>
          </w:p>
        </w:tc>
        <w:tc>
          <w:tcPr>
            <w:tcW w:w="780" w:type="dxa"/>
            <w:vAlign w:val="bottom"/>
          </w:tcPr>
          <w:p>
            <w:pPr>
              <w:jc w:val="right"/>
              <w:ind w:right="331"/>
              <w:spacing w:after="0"/>
              <w:rPr>
                <w:sz w:val="20"/>
                <w:szCs w:val="20"/>
                <w:color w:val="auto"/>
              </w:rPr>
            </w:pPr>
            <w:r>
              <w:rPr>
                <w:rFonts w:ascii="Arial" w:cs="Arial" w:eastAsia="Arial" w:hAnsi="Arial"/>
                <w:sz w:val="10"/>
                <w:szCs w:val="10"/>
                <w:b w:val="1"/>
                <w:bCs w:val="1"/>
                <w:color w:val="auto"/>
              </w:rPr>
              <w:t>Actual</w:t>
            </w:r>
          </w:p>
        </w:tc>
        <w:tc>
          <w:tcPr>
            <w:tcW w:w="1060" w:type="dxa"/>
            <w:vAlign w:val="bottom"/>
          </w:tcPr>
          <w:p>
            <w:pPr>
              <w:jc w:val="right"/>
              <w:ind w:right="411"/>
              <w:spacing w:after="0"/>
              <w:rPr>
                <w:sz w:val="20"/>
                <w:szCs w:val="20"/>
                <w:color w:val="auto"/>
              </w:rPr>
            </w:pPr>
            <w:r>
              <w:rPr>
                <w:rFonts w:ascii="Arial" w:cs="Arial" w:eastAsia="Arial" w:hAnsi="Arial"/>
                <w:sz w:val="10"/>
                <w:szCs w:val="10"/>
                <w:b w:val="1"/>
                <w:bCs w:val="1"/>
                <w:color w:val="auto"/>
              </w:rPr>
              <w:t>Earned</w:t>
            </w:r>
          </w:p>
        </w:tc>
      </w:tr>
      <w:tr>
        <w:trPr>
          <w:trHeight w:val="118"/>
        </w:trPr>
        <w:tc>
          <w:tcPr>
            <w:tcW w:w="1340" w:type="dxa"/>
            <w:vAlign w:val="bottom"/>
          </w:tcPr>
          <w:p>
            <w:pPr>
              <w:spacing w:after="0"/>
              <w:rPr>
                <w:sz w:val="10"/>
                <w:szCs w:val="10"/>
                <w:color w:val="auto"/>
              </w:rPr>
            </w:pPr>
          </w:p>
        </w:tc>
        <w:tc>
          <w:tcPr>
            <w:tcW w:w="1720" w:type="dxa"/>
            <w:vAlign w:val="bottom"/>
            <w:tcBorders>
              <w:bottom w:val="single" w:sz="8" w:color="00B2E5"/>
            </w:tcBorders>
            <w:gridSpan w:val="2"/>
          </w:tcPr>
          <w:p>
            <w:pPr>
              <w:spacing w:after="0"/>
              <w:rPr>
                <w:sz w:val="20"/>
                <w:szCs w:val="20"/>
                <w:color w:val="auto"/>
              </w:rPr>
            </w:pPr>
            <w:r>
              <w:rPr>
                <w:rFonts w:ascii="Arial" w:cs="Arial" w:eastAsia="Arial" w:hAnsi="Arial"/>
                <w:sz w:val="10"/>
                <w:szCs w:val="10"/>
                <w:b w:val="1"/>
                <w:bCs w:val="1"/>
                <w:color w:val="auto"/>
              </w:rPr>
              <w:t>W. Troy Rudd</w:t>
            </w:r>
          </w:p>
        </w:tc>
        <w:tc>
          <w:tcPr>
            <w:tcW w:w="1080" w:type="dxa"/>
            <w:vAlign w:val="bottom"/>
            <w:tcBorders>
              <w:bottom w:val="single" w:sz="8" w:color="00B2E5"/>
            </w:tcBorders>
          </w:tcPr>
          <w:p>
            <w:pPr>
              <w:spacing w:after="0"/>
              <w:rPr>
                <w:sz w:val="10"/>
                <w:szCs w:val="10"/>
                <w:color w:val="auto"/>
              </w:rPr>
            </w:pPr>
          </w:p>
        </w:tc>
        <w:tc>
          <w:tcPr>
            <w:tcW w:w="960" w:type="dxa"/>
            <w:vAlign w:val="bottom"/>
            <w:tcBorders>
              <w:bottom w:val="single" w:sz="8" w:color="00B2E5"/>
            </w:tcBorders>
          </w:tcPr>
          <w:p>
            <w:pPr>
              <w:jc w:val="right"/>
              <w:ind w:right="311"/>
              <w:spacing w:after="0"/>
              <w:rPr>
                <w:sz w:val="20"/>
                <w:szCs w:val="20"/>
                <w:color w:val="auto"/>
              </w:rPr>
            </w:pPr>
            <w:r>
              <w:rPr>
                <w:rFonts w:ascii="Arial" w:cs="Arial" w:eastAsia="Arial" w:hAnsi="Arial"/>
                <w:sz w:val="10"/>
                <w:szCs w:val="10"/>
                <w:b w:val="1"/>
                <w:bCs w:val="1"/>
                <w:color w:val="auto"/>
              </w:rPr>
              <w:t>Percentage</w:t>
            </w:r>
          </w:p>
        </w:tc>
        <w:tc>
          <w:tcPr>
            <w:tcW w:w="920" w:type="dxa"/>
            <w:vAlign w:val="bottom"/>
            <w:tcBorders>
              <w:bottom w:val="single" w:sz="8" w:color="00B2E5"/>
            </w:tcBorders>
            <w:gridSpan w:val="2"/>
          </w:tcPr>
          <w:p>
            <w:pPr>
              <w:jc w:val="right"/>
              <w:ind w:right="311"/>
              <w:spacing w:after="0"/>
              <w:rPr>
                <w:sz w:val="20"/>
                <w:szCs w:val="20"/>
                <w:color w:val="auto"/>
              </w:rPr>
            </w:pPr>
            <w:r>
              <w:rPr>
                <w:rFonts w:ascii="Arial" w:cs="Arial" w:eastAsia="Arial" w:hAnsi="Arial"/>
                <w:sz w:val="10"/>
                <w:szCs w:val="10"/>
                <w:b w:val="1"/>
                <w:bCs w:val="1"/>
                <w:color w:val="auto"/>
              </w:rPr>
              <w:t>Amount($)</w:t>
            </w:r>
          </w:p>
        </w:tc>
        <w:tc>
          <w:tcPr>
            <w:tcW w:w="940" w:type="dxa"/>
            <w:vAlign w:val="bottom"/>
            <w:tcBorders>
              <w:bottom w:val="single" w:sz="8" w:color="00B2E5"/>
            </w:tcBorders>
            <w:gridSpan w:val="2"/>
          </w:tcPr>
          <w:p>
            <w:pPr>
              <w:jc w:val="right"/>
              <w:ind w:right="331"/>
              <w:spacing w:after="0"/>
              <w:rPr>
                <w:sz w:val="20"/>
                <w:szCs w:val="20"/>
                <w:color w:val="auto"/>
              </w:rPr>
            </w:pPr>
            <w:r>
              <w:rPr>
                <w:rFonts w:ascii="Arial" w:cs="Arial" w:eastAsia="Arial" w:hAnsi="Arial"/>
                <w:sz w:val="10"/>
                <w:szCs w:val="10"/>
                <w:b w:val="1"/>
                <w:bCs w:val="1"/>
                <w:color w:val="auto"/>
              </w:rPr>
              <w:t>Amount($)</w:t>
            </w:r>
          </w:p>
        </w:tc>
        <w:tc>
          <w:tcPr>
            <w:tcW w:w="920" w:type="dxa"/>
            <w:vAlign w:val="bottom"/>
            <w:tcBorders>
              <w:bottom w:val="single" w:sz="8" w:color="00B2E5"/>
            </w:tcBorders>
            <w:gridSpan w:val="2"/>
          </w:tcPr>
          <w:p>
            <w:pPr>
              <w:jc w:val="right"/>
              <w:ind w:right="311"/>
              <w:spacing w:after="0"/>
              <w:rPr>
                <w:sz w:val="20"/>
                <w:szCs w:val="20"/>
                <w:color w:val="auto"/>
              </w:rPr>
            </w:pPr>
            <w:r>
              <w:rPr>
                <w:rFonts w:ascii="Arial" w:cs="Arial" w:eastAsia="Arial" w:hAnsi="Arial"/>
                <w:sz w:val="10"/>
                <w:szCs w:val="10"/>
                <w:b w:val="1"/>
                <w:bCs w:val="1"/>
                <w:color w:val="auto"/>
              </w:rPr>
              <w:t>Amount($)</w:t>
            </w:r>
          </w:p>
        </w:tc>
        <w:tc>
          <w:tcPr>
            <w:tcW w:w="100" w:type="dxa"/>
            <w:vAlign w:val="bottom"/>
            <w:tcBorders>
              <w:bottom w:val="single" w:sz="8" w:color="00B2E5"/>
            </w:tcBorders>
          </w:tcPr>
          <w:p>
            <w:pPr>
              <w:spacing w:after="0"/>
              <w:rPr>
                <w:sz w:val="10"/>
                <w:szCs w:val="10"/>
                <w:color w:val="auto"/>
              </w:rPr>
            </w:pPr>
          </w:p>
        </w:tc>
        <w:tc>
          <w:tcPr>
            <w:tcW w:w="780" w:type="dxa"/>
            <w:vAlign w:val="bottom"/>
            <w:tcBorders>
              <w:bottom w:val="single" w:sz="8" w:color="00B2E5"/>
            </w:tcBorders>
          </w:tcPr>
          <w:p>
            <w:pPr>
              <w:jc w:val="right"/>
              <w:ind w:right="251"/>
              <w:spacing w:after="0"/>
              <w:rPr>
                <w:sz w:val="20"/>
                <w:szCs w:val="20"/>
                <w:color w:val="auto"/>
              </w:rPr>
            </w:pPr>
            <w:r>
              <w:rPr>
                <w:rFonts w:ascii="Arial" w:cs="Arial" w:eastAsia="Arial" w:hAnsi="Arial"/>
                <w:sz w:val="10"/>
                <w:szCs w:val="10"/>
                <w:b w:val="1"/>
                <w:bCs w:val="1"/>
                <w:color w:val="auto"/>
                <w:w w:val="91"/>
              </w:rPr>
              <w:t>Amount($)</w:t>
            </w:r>
          </w:p>
        </w:tc>
        <w:tc>
          <w:tcPr>
            <w:tcW w:w="1060" w:type="dxa"/>
            <w:vAlign w:val="bottom"/>
            <w:tcBorders>
              <w:bottom w:val="single" w:sz="8" w:color="00B2E5"/>
            </w:tcBorders>
          </w:tcPr>
          <w:p>
            <w:pPr>
              <w:jc w:val="right"/>
              <w:ind w:right="331"/>
              <w:spacing w:after="0"/>
              <w:rPr>
                <w:sz w:val="20"/>
                <w:szCs w:val="20"/>
                <w:color w:val="auto"/>
              </w:rPr>
            </w:pPr>
            <w:r>
              <w:rPr>
                <w:rFonts w:ascii="Arial" w:cs="Arial" w:eastAsia="Arial" w:hAnsi="Arial"/>
                <w:sz w:val="10"/>
                <w:szCs w:val="10"/>
                <w:b w:val="1"/>
                <w:bCs w:val="1"/>
                <w:color w:val="auto"/>
              </w:rPr>
              <w:t>Percentage</w:t>
            </w:r>
          </w:p>
        </w:tc>
      </w:tr>
      <w:tr>
        <w:trPr>
          <w:trHeight w:val="98"/>
        </w:trPr>
        <w:tc>
          <w:tcPr>
            <w:tcW w:w="1340" w:type="dxa"/>
            <w:vAlign w:val="bottom"/>
          </w:tcPr>
          <w:p>
            <w:pPr>
              <w:spacing w:after="0"/>
              <w:rPr>
                <w:sz w:val="8"/>
                <w:szCs w:val="8"/>
                <w:color w:val="auto"/>
              </w:rPr>
            </w:pPr>
          </w:p>
        </w:tc>
        <w:tc>
          <w:tcPr>
            <w:tcW w:w="1720" w:type="dxa"/>
            <w:vAlign w:val="bottom"/>
            <w:tcBorders>
              <w:bottom w:val="single" w:sz="8" w:color="00B2E5"/>
            </w:tcBorders>
            <w:gridSpan w:val="2"/>
          </w:tcPr>
          <w:p>
            <w:pPr>
              <w:spacing w:after="0" w:line="99" w:lineRule="exact"/>
              <w:rPr>
                <w:sz w:val="20"/>
                <w:szCs w:val="20"/>
                <w:color w:val="auto"/>
              </w:rPr>
            </w:pPr>
            <w:r>
              <w:rPr>
                <w:rFonts w:ascii="Arial" w:cs="Arial" w:eastAsia="Arial" w:hAnsi="Arial"/>
                <w:sz w:val="10"/>
                <w:szCs w:val="10"/>
                <w:color w:val="auto"/>
              </w:rPr>
              <w:t>Adjusted EBITDA</w:t>
            </w:r>
          </w:p>
        </w:tc>
        <w:tc>
          <w:tcPr>
            <w:tcW w:w="1080" w:type="dxa"/>
            <w:vAlign w:val="bottom"/>
            <w:tcBorders>
              <w:bottom w:val="single" w:sz="8" w:color="00B2E5"/>
              <w:right w:val="single" w:sz="8" w:color="00B2E5"/>
            </w:tcBorders>
          </w:tcPr>
          <w:p>
            <w:pPr>
              <w:spacing w:after="0"/>
              <w:rPr>
                <w:sz w:val="8"/>
                <w:szCs w:val="8"/>
                <w:color w:val="auto"/>
              </w:rPr>
            </w:pPr>
          </w:p>
        </w:tc>
        <w:tc>
          <w:tcPr>
            <w:tcW w:w="960" w:type="dxa"/>
            <w:vAlign w:val="bottom"/>
            <w:tcBorders>
              <w:bottom w:val="single" w:sz="8" w:color="00B2E5"/>
              <w:right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35%</w:t>
            </w:r>
          </w:p>
        </w:tc>
        <w:tc>
          <w:tcPr>
            <w:tcW w:w="220" w:type="dxa"/>
            <w:vAlign w:val="bottom"/>
            <w:tcBorders>
              <w:bottom w:val="single" w:sz="8" w:color="00B2E5"/>
            </w:tcBorders>
          </w:tcPr>
          <w:p>
            <w:pPr>
              <w:jc w:val="right"/>
              <w:ind w:right="71"/>
              <w:spacing w:after="0" w:line="99" w:lineRule="exact"/>
              <w:rPr>
                <w:sz w:val="20"/>
                <w:szCs w:val="20"/>
                <w:color w:val="auto"/>
              </w:rPr>
            </w:pPr>
            <w:r>
              <w:rPr>
                <w:rFonts w:ascii="Arial" w:cs="Arial" w:eastAsia="Arial" w:hAnsi="Arial"/>
                <w:sz w:val="10"/>
                <w:szCs w:val="10"/>
                <w:color w:val="auto"/>
              </w:rPr>
              <w:t>$</w:t>
            </w:r>
          </w:p>
        </w:tc>
        <w:tc>
          <w:tcPr>
            <w:tcW w:w="700" w:type="dxa"/>
            <w:vAlign w:val="bottom"/>
            <w:tcBorders>
              <w:bottom w:val="single" w:sz="8" w:color="00B2E5"/>
              <w:right w:val="single" w:sz="8" w:color="00B2E5"/>
            </w:tcBorders>
          </w:tcPr>
          <w:p>
            <w:pPr>
              <w:jc w:val="right"/>
              <w:ind w:right="291"/>
              <w:spacing w:after="0" w:line="99" w:lineRule="exact"/>
              <w:rPr>
                <w:sz w:val="20"/>
                <w:szCs w:val="20"/>
                <w:color w:val="auto"/>
              </w:rPr>
            </w:pPr>
            <w:r>
              <w:rPr>
                <w:rFonts w:ascii="Arial" w:cs="Arial" w:eastAsia="Arial" w:hAnsi="Arial"/>
                <w:sz w:val="10"/>
                <w:szCs w:val="10"/>
                <w:color w:val="auto"/>
              </w:rPr>
              <w:t>666.0</w:t>
            </w:r>
          </w:p>
        </w:tc>
        <w:tc>
          <w:tcPr>
            <w:tcW w:w="140" w:type="dxa"/>
            <w:vAlign w:val="bottom"/>
            <w:tcBorders>
              <w:bottom w:val="single" w:sz="8" w:color="00B2E5"/>
            </w:tcBorders>
          </w:tcPr>
          <w:p>
            <w:pPr>
              <w:jc w:val="right"/>
              <w:spacing w:after="0" w:line="99"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00B2E5"/>
              <w:right w:val="single" w:sz="8" w:color="00B2E5"/>
            </w:tcBorders>
          </w:tcPr>
          <w:p>
            <w:pPr>
              <w:jc w:val="right"/>
              <w:ind w:right="291"/>
              <w:spacing w:after="0" w:line="99" w:lineRule="exact"/>
              <w:rPr>
                <w:sz w:val="20"/>
                <w:szCs w:val="20"/>
                <w:color w:val="auto"/>
              </w:rPr>
            </w:pPr>
            <w:r>
              <w:rPr>
                <w:rFonts w:ascii="Arial" w:cs="Arial" w:eastAsia="Arial" w:hAnsi="Arial"/>
                <w:sz w:val="10"/>
                <w:szCs w:val="10"/>
                <w:color w:val="auto"/>
              </w:rPr>
              <w:t>740.0</w:t>
            </w:r>
          </w:p>
        </w:tc>
        <w:tc>
          <w:tcPr>
            <w:tcW w:w="220" w:type="dxa"/>
            <w:vAlign w:val="bottom"/>
            <w:tcBorders>
              <w:bottom w:val="single" w:sz="8" w:color="00B2E5"/>
            </w:tcBorders>
          </w:tcPr>
          <w:p>
            <w:pPr>
              <w:jc w:val="right"/>
              <w:ind w:right="71"/>
              <w:spacing w:after="0" w:line="99" w:lineRule="exact"/>
              <w:rPr>
                <w:sz w:val="20"/>
                <w:szCs w:val="20"/>
                <w:color w:val="auto"/>
              </w:rPr>
            </w:pPr>
            <w:r>
              <w:rPr>
                <w:rFonts w:ascii="Arial" w:cs="Arial" w:eastAsia="Arial" w:hAnsi="Arial"/>
                <w:sz w:val="10"/>
                <w:szCs w:val="10"/>
                <w:color w:val="auto"/>
              </w:rPr>
              <w:t>$</w:t>
            </w:r>
          </w:p>
        </w:tc>
        <w:tc>
          <w:tcPr>
            <w:tcW w:w="700" w:type="dxa"/>
            <w:vAlign w:val="bottom"/>
            <w:tcBorders>
              <w:bottom w:val="single" w:sz="8" w:color="00B2E5"/>
              <w:right w:val="single" w:sz="8" w:color="00B2E5"/>
            </w:tcBorders>
          </w:tcPr>
          <w:p>
            <w:pPr>
              <w:jc w:val="right"/>
              <w:ind w:right="291"/>
              <w:spacing w:after="0" w:line="99" w:lineRule="exact"/>
              <w:rPr>
                <w:sz w:val="20"/>
                <w:szCs w:val="20"/>
                <w:color w:val="auto"/>
              </w:rPr>
            </w:pPr>
            <w:r>
              <w:rPr>
                <w:rFonts w:ascii="Arial" w:cs="Arial" w:eastAsia="Arial" w:hAnsi="Arial"/>
                <w:sz w:val="10"/>
                <w:szCs w:val="10"/>
                <w:color w:val="auto"/>
              </w:rPr>
              <w:t>814.0</w:t>
            </w:r>
          </w:p>
        </w:tc>
        <w:tc>
          <w:tcPr>
            <w:tcW w:w="100" w:type="dxa"/>
            <w:vAlign w:val="bottom"/>
            <w:tcBorders>
              <w:bottom w:val="single" w:sz="8" w:color="00B2E5"/>
            </w:tcBorders>
          </w:tcPr>
          <w:p>
            <w:pPr>
              <w:jc w:val="right"/>
              <w:spacing w:after="0" w:line="99" w:lineRule="exact"/>
              <w:rPr>
                <w:sz w:val="20"/>
                <w:szCs w:val="20"/>
                <w:color w:val="auto"/>
              </w:rPr>
            </w:pPr>
            <w:r>
              <w:rPr>
                <w:rFonts w:ascii="Arial" w:cs="Arial" w:eastAsia="Arial" w:hAnsi="Arial"/>
                <w:sz w:val="10"/>
                <w:szCs w:val="10"/>
                <w:color w:val="auto"/>
              </w:rPr>
              <w:t>$</w:t>
            </w:r>
          </w:p>
        </w:tc>
        <w:tc>
          <w:tcPr>
            <w:tcW w:w="780" w:type="dxa"/>
            <w:vAlign w:val="bottom"/>
            <w:tcBorders>
              <w:bottom w:val="single" w:sz="8" w:color="00B2E5"/>
              <w:right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746.1</w:t>
            </w:r>
          </w:p>
        </w:tc>
        <w:tc>
          <w:tcPr>
            <w:tcW w:w="1060" w:type="dxa"/>
            <w:vAlign w:val="bottom"/>
            <w:tcBorders>
              <w:bottom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37.9%</w:t>
            </w:r>
          </w:p>
        </w:tc>
      </w:tr>
      <w:tr>
        <w:trPr>
          <w:trHeight w:val="98"/>
        </w:trPr>
        <w:tc>
          <w:tcPr>
            <w:tcW w:w="1340" w:type="dxa"/>
            <w:vAlign w:val="bottom"/>
          </w:tcPr>
          <w:p>
            <w:pPr>
              <w:spacing w:after="0"/>
              <w:rPr>
                <w:sz w:val="8"/>
                <w:szCs w:val="8"/>
                <w:color w:val="auto"/>
              </w:rPr>
            </w:pPr>
          </w:p>
        </w:tc>
        <w:tc>
          <w:tcPr>
            <w:tcW w:w="1720" w:type="dxa"/>
            <w:vAlign w:val="bottom"/>
            <w:tcBorders>
              <w:bottom w:val="single" w:sz="8" w:color="00B2E5"/>
            </w:tcBorders>
            <w:gridSpan w:val="2"/>
          </w:tcPr>
          <w:p>
            <w:pPr>
              <w:spacing w:after="0" w:line="99" w:lineRule="exact"/>
              <w:rPr>
                <w:sz w:val="20"/>
                <w:szCs w:val="20"/>
                <w:color w:val="auto"/>
              </w:rPr>
            </w:pPr>
            <w:r>
              <w:rPr>
                <w:rFonts w:ascii="Arial" w:cs="Arial" w:eastAsia="Arial" w:hAnsi="Arial"/>
                <w:sz w:val="10"/>
                <w:szCs w:val="10"/>
                <w:color w:val="auto"/>
              </w:rPr>
              <w:t>NSR Operating Margin %</w:t>
            </w:r>
          </w:p>
        </w:tc>
        <w:tc>
          <w:tcPr>
            <w:tcW w:w="1080" w:type="dxa"/>
            <w:vAlign w:val="bottom"/>
            <w:tcBorders>
              <w:bottom w:val="single" w:sz="8" w:color="00B2E5"/>
              <w:right w:val="single" w:sz="8" w:color="00B2E5"/>
            </w:tcBorders>
          </w:tcPr>
          <w:p>
            <w:pPr>
              <w:spacing w:after="0"/>
              <w:rPr>
                <w:sz w:val="8"/>
                <w:szCs w:val="8"/>
                <w:color w:val="auto"/>
              </w:rPr>
            </w:pPr>
          </w:p>
        </w:tc>
        <w:tc>
          <w:tcPr>
            <w:tcW w:w="960" w:type="dxa"/>
            <w:vAlign w:val="bottom"/>
            <w:tcBorders>
              <w:bottom w:val="single" w:sz="8" w:color="00B2E5"/>
              <w:right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35%</w:t>
            </w:r>
          </w:p>
        </w:tc>
        <w:tc>
          <w:tcPr>
            <w:tcW w:w="220" w:type="dxa"/>
            <w:vAlign w:val="bottom"/>
            <w:tcBorders>
              <w:bottom w:val="single" w:sz="8" w:color="00B2E5"/>
            </w:tcBorders>
          </w:tcPr>
          <w:p>
            <w:pPr>
              <w:spacing w:after="0"/>
              <w:rPr>
                <w:sz w:val="8"/>
                <w:szCs w:val="8"/>
                <w:color w:val="auto"/>
              </w:rPr>
            </w:pPr>
          </w:p>
        </w:tc>
        <w:tc>
          <w:tcPr>
            <w:tcW w:w="700" w:type="dxa"/>
            <w:vAlign w:val="bottom"/>
            <w:tcBorders>
              <w:bottom w:val="single" w:sz="8" w:color="00B2E5"/>
              <w:right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10.4%</w:t>
            </w:r>
          </w:p>
        </w:tc>
        <w:tc>
          <w:tcPr>
            <w:tcW w:w="140" w:type="dxa"/>
            <w:vAlign w:val="bottom"/>
            <w:tcBorders>
              <w:bottom w:val="single" w:sz="8" w:color="00B2E5"/>
            </w:tcBorders>
          </w:tcPr>
          <w:p>
            <w:pPr>
              <w:spacing w:after="0"/>
              <w:rPr>
                <w:sz w:val="8"/>
                <w:szCs w:val="8"/>
                <w:color w:val="auto"/>
              </w:rPr>
            </w:pPr>
          </w:p>
        </w:tc>
        <w:tc>
          <w:tcPr>
            <w:tcW w:w="800" w:type="dxa"/>
            <w:vAlign w:val="bottom"/>
            <w:tcBorders>
              <w:bottom w:val="single" w:sz="8" w:color="00B2E5"/>
              <w:right w:val="single" w:sz="8" w:color="00B2E5"/>
            </w:tcBorders>
          </w:tcPr>
          <w:p>
            <w:pPr>
              <w:jc w:val="right"/>
              <w:ind w:right="211"/>
              <w:spacing w:after="0" w:line="99" w:lineRule="exact"/>
              <w:rPr>
                <w:sz w:val="20"/>
                <w:szCs w:val="20"/>
                <w:color w:val="auto"/>
              </w:rPr>
            </w:pPr>
            <w:r>
              <w:rPr>
                <w:rFonts w:ascii="Arial" w:cs="Arial" w:eastAsia="Arial" w:hAnsi="Arial"/>
                <w:sz w:val="10"/>
                <w:szCs w:val="10"/>
                <w:color w:val="auto"/>
              </w:rPr>
              <w:t>11.5%</w:t>
            </w:r>
          </w:p>
        </w:tc>
        <w:tc>
          <w:tcPr>
            <w:tcW w:w="220" w:type="dxa"/>
            <w:vAlign w:val="bottom"/>
            <w:tcBorders>
              <w:bottom w:val="single" w:sz="8" w:color="00B2E5"/>
            </w:tcBorders>
          </w:tcPr>
          <w:p>
            <w:pPr>
              <w:spacing w:after="0"/>
              <w:rPr>
                <w:sz w:val="8"/>
                <w:szCs w:val="8"/>
                <w:color w:val="auto"/>
              </w:rPr>
            </w:pPr>
          </w:p>
        </w:tc>
        <w:tc>
          <w:tcPr>
            <w:tcW w:w="700" w:type="dxa"/>
            <w:vAlign w:val="bottom"/>
            <w:tcBorders>
              <w:bottom w:val="single" w:sz="8" w:color="00B2E5"/>
              <w:right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12.7%</w:t>
            </w:r>
          </w:p>
        </w:tc>
        <w:tc>
          <w:tcPr>
            <w:tcW w:w="100" w:type="dxa"/>
            <w:vAlign w:val="bottom"/>
            <w:tcBorders>
              <w:bottom w:val="single" w:sz="8" w:color="00B2E5"/>
            </w:tcBorders>
          </w:tcPr>
          <w:p>
            <w:pPr>
              <w:spacing w:after="0"/>
              <w:rPr>
                <w:sz w:val="8"/>
                <w:szCs w:val="8"/>
                <w:color w:val="auto"/>
              </w:rPr>
            </w:pPr>
          </w:p>
        </w:tc>
        <w:tc>
          <w:tcPr>
            <w:tcW w:w="780" w:type="dxa"/>
            <w:vAlign w:val="bottom"/>
            <w:tcBorders>
              <w:bottom w:val="single" w:sz="8" w:color="00B2E5"/>
              <w:right w:val="single" w:sz="8" w:color="00B2E5"/>
            </w:tcBorders>
          </w:tcPr>
          <w:p>
            <w:pPr>
              <w:jc w:val="right"/>
              <w:ind w:right="111"/>
              <w:spacing w:after="0" w:line="99" w:lineRule="exact"/>
              <w:rPr>
                <w:sz w:val="20"/>
                <w:szCs w:val="20"/>
                <w:color w:val="auto"/>
              </w:rPr>
            </w:pPr>
            <w:r>
              <w:rPr>
                <w:rFonts w:ascii="Arial" w:cs="Arial" w:eastAsia="Arial" w:hAnsi="Arial"/>
                <w:sz w:val="10"/>
                <w:szCs w:val="10"/>
                <w:color w:val="auto"/>
              </w:rPr>
              <w:t>12.3%</w:t>
            </w:r>
          </w:p>
        </w:tc>
        <w:tc>
          <w:tcPr>
            <w:tcW w:w="1060" w:type="dxa"/>
            <w:vAlign w:val="bottom"/>
            <w:tcBorders>
              <w:bottom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58.3%</w:t>
            </w:r>
          </w:p>
        </w:tc>
      </w:tr>
      <w:tr>
        <w:trPr>
          <w:trHeight w:val="98"/>
        </w:trPr>
        <w:tc>
          <w:tcPr>
            <w:tcW w:w="1340" w:type="dxa"/>
            <w:vAlign w:val="bottom"/>
          </w:tcPr>
          <w:p>
            <w:pPr>
              <w:spacing w:after="0"/>
              <w:rPr>
                <w:sz w:val="8"/>
                <w:szCs w:val="8"/>
                <w:color w:val="auto"/>
              </w:rPr>
            </w:pPr>
          </w:p>
        </w:tc>
        <w:tc>
          <w:tcPr>
            <w:tcW w:w="1720" w:type="dxa"/>
            <w:vAlign w:val="bottom"/>
            <w:gridSpan w:val="2"/>
          </w:tcPr>
          <w:p>
            <w:pPr>
              <w:spacing w:after="0" w:line="99" w:lineRule="exact"/>
              <w:rPr>
                <w:sz w:val="20"/>
                <w:szCs w:val="20"/>
                <w:color w:val="auto"/>
              </w:rPr>
            </w:pPr>
            <w:r>
              <w:rPr>
                <w:rFonts w:ascii="Arial" w:cs="Arial" w:eastAsia="Arial" w:hAnsi="Arial"/>
                <w:sz w:val="10"/>
                <w:szCs w:val="10"/>
                <w:color w:val="auto"/>
              </w:rPr>
              <w:t>KPIs</w:t>
            </w:r>
          </w:p>
        </w:tc>
        <w:tc>
          <w:tcPr>
            <w:tcW w:w="1080" w:type="dxa"/>
            <w:vAlign w:val="bottom"/>
            <w:tcBorders>
              <w:right w:val="single" w:sz="8" w:color="00B2E5"/>
            </w:tcBorders>
          </w:tcPr>
          <w:p>
            <w:pPr>
              <w:spacing w:after="0"/>
              <w:rPr>
                <w:sz w:val="8"/>
                <w:szCs w:val="8"/>
                <w:color w:val="auto"/>
              </w:rPr>
            </w:pPr>
          </w:p>
        </w:tc>
        <w:tc>
          <w:tcPr>
            <w:tcW w:w="960" w:type="dxa"/>
            <w:vAlign w:val="bottom"/>
            <w:tcBorders>
              <w:right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30%</w:t>
            </w:r>
          </w:p>
        </w:tc>
        <w:tc>
          <w:tcPr>
            <w:tcW w:w="220" w:type="dxa"/>
            <w:vAlign w:val="bottom"/>
            <w:shd w:val="clear" w:color="auto" w:fill="90D1F1"/>
          </w:tcPr>
          <w:p>
            <w:pPr>
              <w:spacing w:after="0"/>
              <w:rPr>
                <w:sz w:val="8"/>
                <w:szCs w:val="8"/>
                <w:color w:val="auto"/>
              </w:rPr>
            </w:pPr>
          </w:p>
        </w:tc>
        <w:tc>
          <w:tcPr>
            <w:tcW w:w="700" w:type="dxa"/>
            <w:vAlign w:val="bottom"/>
            <w:tcBorders>
              <w:right w:val="single" w:sz="8" w:color="90D1F1"/>
            </w:tcBorders>
            <w:shd w:val="clear" w:color="auto" w:fill="90D1F1"/>
          </w:tcPr>
          <w:p>
            <w:pPr>
              <w:spacing w:after="0"/>
              <w:rPr>
                <w:sz w:val="8"/>
                <w:szCs w:val="8"/>
                <w:color w:val="auto"/>
              </w:rPr>
            </w:pPr>
          </w:p>
        </w:tc>
        <w:tc>
          <w:tcPr>
            <w:tcW w:w="140" w:type="dxa"/>
            <w:vAlign w:val="bottom"/>
            <w:shd w:val="clear" w:color="auto" w:fill="90D1F1"/>
          </w:tcPr>
          <w:p>
            <w:pPr>
              <w:spacing w:after="0"/>
              <w:rPr>
                <w:sz w:val="8"/>
                <w:szCs w:val="8"/>
                <w:color w:val="auto"/>
              </w:rPr>
            </w:pPr>
          </w:p>
        </w:tc>
        <w:tc>
          <w:tcPr>
            <w:tcW w:w="800" w:type="dxa"/>
            <w:vAlign w:val="bottom"/>
            <w:tcBorders>
              <w:right w:val="single" w:sz="8" w:color="90D1F1"/>
            </w:tcBorders>
            <w:shd w:val="clear" w:color="auto" w:fill="90D1F1"/>
          </w:tcPr>
          <w:p>
            <w:pPr>
              <w:spacing w:after="0"/>
              <w:rPr>
                <w:sz w:val="8"/>
                <w:szCs w:val="8"/>
                <w:color w:val="auto"/>
              </w:rPr>
            </w:pPr>
          </w:p>
        </w:tc>
        <w:tc>
          <w:tcPr>
            <w:tcW w:w="220" w:type="dxa"/>
            <w:vAlign w:val="bottom"/>
            <w:shd w:val="clear" w:color="auto" w:fill="90D1F1"/>
          </w:tcPr>
          <w:p>
            <w:pPr>
              <w:spacing w:after="0"/>
              <w:rPr>
                <w:sz w:val="8"/>
                <w:szCs w:val="8"/>
                <w:color w:val="auto"/>
              </w:rPr>
            </w:pPr>
          </w:p>
        </w:tc>
        <w:tc>
          <w:tcPr>
            <w:tcW w:w="700" w:type="dxa"/>
            <w:vAlign w:val="bottom"/>
            <w:tcBorders>
              <w:right w:val="single" w:sz="8" w:color="90D1F1"/>
            </w:tcBorders>
            <w:shd w:val="clear" w:color="auto" w:fill="90D1F1"/>
          </w:tcPr>
          <w:p>
            <w:pPr>
              <w:spacing w:after="0"/>
              <w:rPr>
                <w:sz w:val="8"/>
                <w:szCs w:val="8"/>
                <w:color w:val="auto"/>
              </w:rPr>
            </w:pPr>
          </w:p>
        </w:tc>
        <w:tc>
          <w:tcPr>
            <w:tcW w:w="100" w:type="dxa"/>
            <w:vAlign w:val="bottom"/>
            <w:shd w:val="clear" w:color="auto" w:fill="90D1F1"/>
          </w:tcPr>
          <w:p>
            <w:pPr>
              <w:spacing w:after="0"/>
              <w:rPr>
                <w:sz w:val="8"/>
                <w:szCs w:val="8"/>
                <w:color w:val="auto"/>
              </w:rPr>
            </w:pPr>
          </w:p>
        </w:tc>
        <w:tc>
          <w:tcPr>
            <w:tcW w:w="780" w:type="dxa"/>
            <w:vAlign w:val="bottom"/>
            <w:tcBorders>
              <w:right w:val="single" w:sz="8" w:color="00B2E5"/>
            </w:tcBorders>
            <w:shd w:val="clear" w:color="auto" w:fill="90D1F1"/>
          </w:tcPr>
          <w:p>
            <w:pPr>
              <w:spacing w:after="0"/>
              <w:rPr>
                <w:sz w:val="8"/>
                <w:szCs w:val="8"/>
                <w:color w:val="auto"/>
              </w:rPr>
            </w:pPr>
          </w:p>
        </w:tc>
        <w:tc>
          <w:tcPr>
            <w:tcW w:w="1060" w:type="dxa"/>
            <w:vAlign w:val="bottom"/>
          </w:tcPr>
          <w:p>
            <w:pPr>
              <w:jc w:val="right"/>
              <w:ind w:right="191"/>
              <w:spacing w:after="0" w:line="99" w:lineRule="exact"/>
              <w:rPr>
                <w:sz w:val="20"/>
                <w:szCs w:val="20"/>
                <w:color w:val="auto"/>
              </w:rPr>
            </w:pPr>
            <w:r>
              <w:rPr>
                <w:rFonts w:ascii="Arial" w:cs="Arial" w:eastAsia="Arial" w:hAnsi="Arial"/>
                <w:sz w:val="10"/>
                <w:szCs w:val="10"/>
                <w:color w:val="auto"/>
              </w:rPr>
              <w:t>45.0%</w:t>
            </w:r>
          </w:p>
        </w:tc>
      </w:tr>
      <w:tr>
        <w:trPr>
          <w:trHeight w:val="98"/>
        </w:trPr>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tcBorders>
              <w:top w:val="single" w:sz="8" w:color="00B2E5"/>
              <w:bottom w:val="single" w:sz="8" w:color="00B2E5"/>
            </w:tcBorders>
          </w:tcPr>
          <w:p>
            <w:pPr>
              <w:spacing w:after="0" w:line="99" w:lineRule="exact"/>
              <w:rPr>
                <w:sz w:val="20"/>
                <w:szCs w:val="20"/>
                <w:color w:val="auto"/>
              </w:rPr>
            </w:pPr>
            <w:r>
              <w:rPr>
                <w:rFonts w:ascii="Arial" w:cs="Arial" w:eastAsia="Arial" w:hAnsi="Arial"/>
                <w:sz w:val="10"/>
                <w:szCs w:val="10"/>
                <w:b w:val="1"/>
                <w:bCs w:val="1"/>
                <w:color w:val="auto"/>
              </w:rPr>
              <w:t>Total</w:t>
            </w:r>
          </w:p>
        </w:tc>
        <w:tc>
          <w:tcPr>
            <w:tcW w:w="1080" w:type="dxa"/>
            <w:vAlign w:val="bottom"/>
            <w:tcBorders>
              <w:top w:val="single" w:sz="8" w:color="00B2E5"/>
              <w:bottom w:val="single" w:sz="8" w:color="00B2E5"/>
              <w:right w:val="single" w:sz="8" w:color="00B2E5"/>
            </w:tcBorders>
          </w:tcPr>
          <w:p>
            <w:pPr>
              <w:spacing w:after="0"/>
              <w:rPr>
                <w:sz w:val="8"/>
                <w:szCs w:val="8"/>
                <w:color w:val="auto"/>
              </w:rPr>
            </w:pPr>
          </w:p>
        </w:tc>
        <w:tc>
          <w:tcPr>
            <w:tcW w:w="96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220" w:type="dxa"/>
            <w:vAlign w:val="bottom"/>
            <w:tcBorders>
              <w:top w:val="single" w:sz="8" w:color="00B2E5"/>
              <w:bottom w:val="single" w:sz="8" w:color="00B2E5"/>
            </w:tcBorders>
            <w:shd w:val="clear" w:color="auto" w:fill="90D1F1"/>
          </w:tcPr>
          <w:p>
            <w:pPr>
              <w:spacing w:after="0"/>
              <w:rPr>
                <w:sz w:val="8"/>
                <w:szCs w:val="8"/>
                <w:color w:val="auto"/>
              </w:rPr>
            </w:pPr>
          </w:p>
        </w:tc>
        <w:tc>
          <w:tcPr>
            <w:tcW w:w="70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140" w:type="dxa"/>
            <w:vAlign w:val="bottom"/>
            <w:tcBorders>
              <w:top w:val="single" w:sz="8" w:color="00B2E5"/>
              <w:bottom w:val="single" w:sz="8" w:color="00B2E5"/>
            </w:tcBorders>
            <w:shd w:val="clear" w:color="auto" w:fill="90D1F1"/>
          </w:tcPr>
          <w:p>
            <w:pPr>
              <w:spacing w:after="0"/>
              <w:rPr>
                <w:sz w:val="8"/>
                <w:szCs w:val="8"/>
                <w:color w:val="auto"/>
              </w:rPr>
            </w:pPr>
          </w:p>
        </w:tc>
        <w:tc>
          <w:tcPr>
            <w:tcW w:w="80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220" w:type="dxa"/>
            <w:vAlign w:val="bottom"/>
            <w:tcBorders>
              <w:top w:val="single" w:sz="8" w:color="00B2E5"/>
              <w:bottom w:val="single" w:sz="8" w:color="00B2E5"/>
            </w:tcBorders>
            <w:shd w:val="clear" w:color="auto" w:fill="90D1F1"/>
          </w:tcPr>
          <w:p>
            <w:pPr>
              <w:spacing w:after="0"/>
              <w:rPr>
                <w:sz w:val="8"/>
                <w:szCs w:val="8"/>
                <w:color w:val="auto"/>
              </w:rPr>
            </w:pPr>
          </w:p>
        </w:tc>
        <w:tc>
          <w:tcPr>
            <w:tcW w:w="70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100" w:type="dxa"/>
            <w:vAlign w:val="bottom"/>
            <w:tcBorders>
              <w:top w:val="single" w:sz="8" w:color="00B2E5"/>
              <w:bottom w:val="single" w:sz="8" w:color="00B2E5"/>
            </w:tcBorders>
            <w:shd w:val="clear" w:color="auto" w:fill="90D1F1"/>
          </w:tcPr>
          <w:p>
            <w:pPr>
              <w:spacing w:after="0"/>
              <w:rPr>
                <w:sz w:val="8"/>
                <w:szCs w:val="8"/>
                <w:color w:val="auto"/>
              </w:rPr>
            </w:pPr>
          </w:p>
        </w:tc>
        <w:tc>
          <w:tcPr>
            <w:tcW w:w="780" w:type="dxa"/>
            <w:vAlign w:val="bottom"/>
            <w:tcBorders>
              <w:top w:val="single" w:sz="8" w:color="00B2E5"/>
              <w:bottom w:val="single" w:sz="8" w:color="00B2E5"/>
              <w:right w:val="single" w:sz="8" w:color="00B2E5"/>
            </w:tcBorders>
            <w:shd w:val="clear" w:color="auto" w:fill="90D1F1"/>
          </w:tcPr>
          <w:p>
            <w:pPr>
              <w:spacing w:after="0"/>
              <w:rPr>
                <w:sz w:val="8"/>
                <w:szCs w:val="8"/>
                <w:color w:val="auto"/>
              </w:rPr>
            </w:pPr>
          </w:p>
        </w:tc>
        <w:tc>
          <w:tcPr>
            <w:tcW w:w="1060" w:type="dxa"/>
            <w:vAlign w:val="bottom"/>
            <w:tcBorders>
              <w:top w:val="single" w:sz="8" w:color="00B2E5"/>
              <w:bottom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141.2%</w:t>
            </w:r>
          </w:p>
        </w:tc>
      </w:tr>
      <w:tr>
        <w:trPr>
          <w:trHeight w:val="62"/>
        </w:trPr>
        <w:tc>
          <w:tcPr>
            <w:tcW w:w="1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r>
    </w:tbl>
    <w:p>
      <w:pPr>
        <w:spacing w:after="0" w:line="137" w:lineRule="exact"/>
        <w:rPr>
          <w:sz w:val="20"/>
          <w:szCs w:val="20"/>
          <w:color w:val="auto"/>
        </w:rPr>
      </w:pPr>
    </w:p>
    <w:p>
      <w:pPr>
        <w:ind w:left="367" w:hanging="367"/>
        <w:spacing w:after="0"/>
        <w:tabs>
          <w:tab w:leader="none" w:pos="367" w:val="left"/>
        </w:tabs>
        <w:numPr>
          <w:ilvl w:val="0"/>
          <w:numId w:val="39"/>
        </w:numPr>
        <w:rPr>
          <w:rFonts w:ascii="Arial" w:cs="Arial" w:eastAsia="Arial" w:hAnsi="Arial"/>
          <w:sz w:val="10"/>
          <w:szCs w:val="10"/>
          <w:color w:val="auto"/>
        </w:rPr>
      </w:pPr>
      <w:r>
        <w:rPr>
          <w:rFonts w:ascii="Arial" w:cs="Arial" w:eastAsia="Arial" w:hAnsi="Arial"/>
          <w:sz w:val="10"/>
          <w:szCs w:val="10"/>
          <w:color w:val="auto"/>
        </w:rPr>
        <w:t>See Annex A, Reconciliation of Non-GAAP Items.</w:t>
      </w:r>
    </w:p>
    <w:p>
      <w:pPr>
        <w:spacing w:after="0" w:line="137" w:lineRule="exact"/>
        <w:rPr>
          <w:sz w:val="20"/>
          <w:szCs w:val="20"/>
          <w:color w:val="auto"/>
        </w:rPr>
      </w:pPr>
    </w:p>
    <w:p>
      <w:pPr>
        <w:ind w:left="7"/>
        <w:spacing w:after="0"/>
        <w:rPr>
          <w:sz w:val="20"/>
          <w:szCs w:val="20"/>
          <w:color w:val="auto"/>
        </w:rPr>
      </w:pPr>
      <w:r>
        <w:rPr>
          <w:rFonts w:ascii="Arial" w:cs="Arial" w:eastAsia="Arial" w:hAnsi="Arial"/>
          <w:sz w:val="12"/>
          <w:szCs w:val="12"/>
          <w:color w:val="auto"/>
        </w:rPr>
        <w:t>Mr. Kapoor's bonus was calculated pro-rata based on his time as Global Controller and Chief Financial Officer.</w:t>
      </w:r>
    </w:p>
    <w:p>
      <w:pPr>
        <w:spacing w:after="0" w:line="142"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jc w:val="right"/>
              <w:ind w:right="351"/>
              <w:spacing w:after="0"/>
              <w:rPr>
                <w:sz w:val="20"/>
                <w:szCs w:val="20"/>
                <w:color w:val="auto"/>
              </w:rPr>
            </w:pPr>
            <w:r>
              <w:rPr>
                <w:rFonts w:ascii="Arial" w:cs="Arial" w:eastAsia="Arial" w:hAnsi="Arial"/>
                <w:sz w:val="10"/>
                <w:szCs w:val="10"/>
                <w:b w:val="1"/>
                <w:bCs w:val="1"/>
                <w:color w:val="auto"/>
              </w:rPr>
              <w:t>Weighting</w:t>
            </w:r>
          </w:p>
        </w:tc>
        <w:tc>
          <w:tcPr>
            <w:tcW w:w="920" w:type="dxa"/>
            <w:vAlign w:val="bottom"/>
            <w:gridSpan w:val="2"/>
          </w:tcPr>
          <w:p>
            <w:pPr>
              <w:jc w:val="right"/>
              <w:ind w:right="329"/>
              <w:spacing w:after="0"/>
              <w:rPr>
                <w:sz w:val="20"/>
                <w:szCs w:val="20"/>
                <w:color w:val="auto"/>
              </w:rPr>
            </w:pPr>
            <w:r>
              <w:rPr>
                <w:rFonts w:ascii="Arial" w:cs="Arial" w:eastAsia="Arial" w:hAnsi="Arial"/>
                <w:sz w:val="10"/>
                <w:szCs w:val="10"/>
                <w:b w:val="1"/>
                <w:bCs w:val="1"/>
                <w:color w:val="auto"/>
              </w:rPr>
              <w:t>Threshold</w:t>
            </w:r>
          </w:p>
        </w:tc>
        <w:tc>
          <w:tcPr>
            <w:tcW w:w="140" w:type="dxa"/>
            <w:vAlign w:val="bottom"/>
          </w:tcPr>
          <w:p>
            <w:pPr>
              <w:spacing w:after="0"/>
              <w:rPr>
                <w:sz w:val="10"/>
                <w:szCs w:val="10"/>
                <w:color w:val="auto"/>
              </w:rPr>
            </w:pPr>
          </w:p>
        </w:tc>
        <w:tc>
          <w:tcPr>
            <w:tcW w:w="800" w:type="dxa"/>
            <w:vAlign w:val="bottom"/>
          </w:tcPr>
          <w:p>
            <w:pPr>
              <w:jc w:val="right"/>
              <w:ind w:right="431"/>
              <w:spacing w:after="0"/>
              <w:rPr>
                <w:sz w:val="20"/>
                <w:szCs w:val="20"/>
                <w:color w:val="auto"/>
              </w:rPr>
            </w:pPr>
            <w:r>
              <w:rPr>
                <w:rFonts w:ascii="Arial" w:cs="Arial" w:eastAsia="Arial" w:hAnsi="Arial"/>
                <w:sz w:val="10"/>
                <w:szCs w:val="10"/>
                <w:b w:val="1"/>
                <w:bCs w:val="1"/>
                <w:color w:val="auto"/>
                <w:w w:val="98"/>
              </w:rPr>
              <w:t>Target</w:t>
            </w:r>
          </w:p>
        </w:tc>
        <w:tc>
          <w:tcPr>
            <w:tcW w:w="920" w:type="dxa"/>
            <w:vAlign w:val="bottom"/>
            <w:gridSpan w:val="2"/>
          </w:tcPr>
          <w:p>
            <w:pPr>
              <w:jc w:val="right"/>
              <w:ind w:right="331"/>
              <w:spacing w:after="0"/>
              <w:rPr>
                <w:sz w:val="20"/>
                <w:szCs w:val="20"/>
                <w:color w:val="auto"/>
              </w:rPr>
            </w:pPr>
            <w:r>
              <w:rPr>
                <w:rFonts w:ascii="Arial" w:cs="Arial" w:eastAsia="Arial" w:hAnsi="Arial"/>
                <w:sz w:val="10"/>
                <w:szCs w:val="10"/>
                <w:b w:val="1"/>
                <w:bCs w:val="1"/>
                <w:color w:val="auto"/>
              </w:rPr>
              <w:t>Maximum</w:t>
            </w:r>
          </w:p>
        </w:tc>
        <w:tc>
          <w:tcPr>
            <w:tcW w:w="100" w:type="dxa"/>
            <w:vAlign w:val="bottom"/>
          </w:tcPr>
          <w:p>
            <w:pPr>
              <w:spacing w:after="0"/>
              <w:rPr>
                <w:sz w:val="10"/>
                <w:szCs w:val="10"/>
                <w:color w:val="auto"/>
              </w:rPr>
            </w:pPr>
          </w:p>
        </w:tc>
        <w:tc>
          <w:tcPr>
            <w:tcW w:w="780" w:type="dxa"/>
            <w:vAlign w:val="bottom"/>
          </w:tcPr>
          <w:p>
            <w:pPr>
              <w:jc w:val="right"/>
              <w:ind w:right="331"/>
              <w:spacing w:after="0"/>
              <w:rPr>
                <w:sz w:val="20"/>
                <w:szCs w:val="20"/>
                <w:color w:val="auto"/>
              </w:rPr>
            </w:pPr>
            <w:r>
              <w:rPr>
                <w:rFonts w:ascii="Arial" w:cs="Arial" w:eastAsia="Arial" w:hAnsi="Arial"/>
                <w:sz w:val="10"/>
                <w:szCs w:val="10"/>
                <w:b w:val="1"/>
                <w:bCs w:val="1"/>
                <w:color w:val="auto"/>
              </w:rPr>
              <w:t>Actual</w:t>
            </w:r>
          </w:p>
        </w:tc>
        <w:tc>
          <w:tcPr>
            <w:tcW w:w="2540" w:type="dxa"/>
            <w:vAlign w:val="bottom"/>
            <w:gridSpan w:val="2"/>
          </w:tcPr>
          <w:p>
            <w:pPr>
              <w:jc w:val="center"/>
              <w:ind w:right="1660"/>
              <w:spacing w:after="0"/>
              <w:rPr>
                <w:sz w:val="20"/>
                <w:szCs w:val="20"/>
                <w:color w:val="auto"/>
              </w:rPr>
            </w:pPr>
            <w:r>
              <w:rPr>
                <w:rFonts w:ascii="Arial" w:cs="Arial" w:eastAsia="Arial" w:hAnsi="Arial"/>
                <w:sz w:val="10"/>
                <w:szCs w:val="10"/>
                <w:b w:val="1"/>
                <w:bCs w:val="1"/>
                <w:color w:val="auto"/>
                <w:w w:val="94"/>
              </w:rPr>
              <w:t>Earned</w:t>
            </w:r>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Arial" w:cs="Arial" w:eastAsia="Arial" w:hAnsi="Arial"/>
                <w:sz w:val="10"/>
                <w:szCs w:val="10"/>
                <w:b w:val="1"/>
                <w:bCs w:val="1"/>
                <w:color w:val="auto"/>
              </w:rPr>
              <w:t>Gaurav Kapoor</w:t>
            </w:r>
          </w:p>
        </w:tc>
        <w:tc>
          <w:tcPr>
            <w:tcW w:w="1080" w:type="dxa"/>
            <w:vAlign w:val="bottom"/>
          </w:tcPr>
          <w:p>
            <w:pPr>
              <w:spacing w:after="0"/>
              <w:rPr>
                <w:sz w:val="10"/>
                <w:szCs w:val="10"/>
                <w:color w:val="auto"/>
              </w:rPr>
            </w:pPr>
          </w:p>
        </w:tc>
        <w:tc>
          <w:tcPr>
            <w:tcW w:w="960" w:type="dxa"/>
            <w:vAlign w:val="bottom"/>
          </w:tcPr>
          <w:p>
            <w:pPr>
              <w:jc w:val="right"/>
              <w:ind w:right="311"/>
              <w:spacing w:after="0"/>
              <w:rPr>
                <w:sz w:val="20"/>
                <w:szCs w:val="20"/>
                <w:color w:val="auto"/>
              </w:rPr>
            </w:pPr>
            <w:r>
              <w:rPr>
                <w:rFonts w:ascii="Arial" w:cs="Arial" w:eastAsia="Arial" w:hAnsi="Arial"/>
                <w:sz w:val="10"/>
                <w:szCs w:val="10"/>
                <w:b w:val="1"/>
                <w:bCs w:val="1"/>
                <w:color w:val="auto"/>
              </w:rPr>
              <w:t>Percentage</w:t>
            </w:r>
          </w:p>
        </w:tc>
        <w:tc>
          <w:tcPr>
            <w:tcW w:w="920" w:type="dxa"/>
            <w:vAlign w:val="bottom"/>
            <w:gridSpan w:val="2"/>
          </w:tcPr>
          <w:p>
            <w:pPr>
              <w:jc w:val="right"/>
              <w:ind w:right="309"/>
              <w:spacing w:after="0"/>
              <w:rPr>
                <w:sz w:val="20"/>
                <w:szCs w:val="20"/>
                <w:color w:val="auto"/>
              </w:rPr>
            </w:pPr>
            <w:r>
              <w:rPr>
                <w:rFonts w:ascii="Arial" w:cs="Arial" w:eastAsia="Arial" w:hAnsi="Arial"/>
                <w:sz w:val="10"/>
                <w:szCs w:val="10"/>
                <w:b w:val="1"/>
                <w:bCs w:val="1"/>
                <w:color w:val="auto"/>
              </w:rPr>
              <w:t>Amount($)</w:t>
            </w:r>
          </w:p>
        </w:tc>
        <w:tc>
          <w:tcPr>
            <w:tcW w:w="940" w:type="dxa"/>
            <w:vAlign w:val="bottom"/>
            <w:gridSpan w:val="2"/>
          </w:tcPr>
          <w:p>
            <w:pPr>
              <w:jc w:val="right"/>
              <w:ind w:right="331"/>
              <w:spacing w:after="0"/>
              <w:rPr>
                <w:sz w:val="20"/>
                <w:szCs w:val="20"/>
                <w:color w:val="auto"/>
              </w:rPr>
            </w:pPr>
            <w:r>
              <w:rPr>
                <w:rFonts w:ascii="Arial" w:cs="Arial" w:eastAsia="Arial" w:hAnsi="Arial"/>
                <w:sz w:val="10"/>
                <w:szCs w:val="10"/>
                <w:b w:val="1"/>
                <w:bCs w:val="1"/>
                <w:color w:val="auto"/>
              </w:rPr>
              <w:t>Amount($)</w:t>
            </w:r>
          </w:p>
        </w:tc>
        <w:tc>
          <w:tcPr>
            <w:tcW w:w="920" w:type="dxa"/>
            <w:vAlign w:val="bottom"/>
            <w:gridSpan w:val="2"/>
          </w:tcPr>
          <w:p>
            <w:pPr>
              <w:jc w:val="right"/>
              <w:ind w:right="311"/>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0"/>
                <w:szCs w:val="10"/>
                <w:color w:val="auto"/>
              </w:rPr>
            </w:pPr>
          </w:p>
        </w:tc>
        <w:tc>
          <w:tcPr>
            <w:tcW w:w="780" w:type="dxa"/>
            <w:vAlign w:val="bottom"/>
          </w:tcPr>
          <w:p>
            <w:pPr>
              <w:jc w:val="right"/>
              <w:ind w:right="251"/>
              <w:spacing w:after="0"/>
              <w:rPr>
                <w:sz w:val="20"/>
                <w:szCs w:val="20"/>
                <w:color w:val="auto"/>
              </w:rPr>
            </w:pPr>
            <w:r>
              <w:rPr>
                <w:rFonts w:ascii="Arial" w:cs="Arial" w:eastAsia="Arial" w:hAnsi="Arial"/>
                <w:sz w:val="10"/>
                <w:szCs w:val="10"/>
                <w:b w:val="1"/>
                <w:bCs w:val="1"/>
                <w:color w:val="auto"/>
                <w:w w:val="91"/>
              </w:rPr>
              <w:t>Amount($)</w:t>
            </w:r>
          </w:p>
        </w:tc>
        <w:tc>
          <w:tcPr>
            <w:tcW w:w="2540" w:type="dxa"/>
            <w:vAlign w:val="bottom"/>
            <w:gridSpan w:val="2"/>
          </w:tcPr>
          <w:p>
            <w:pPr>
              <w:jc w:val="center"/>
              <w:ind w:right="1660"/>
              <w:spacing w:after="0"/>
              <w:rPr>
                <w:sz w:val="20"/>
                <w:szCs w:val="20"/>
                <w:color w:val="auto"/>
              </w:rPr>
            </w:pPr>
            <w:r>
              <w:rPr>
                <w:rFonts w:ascii="Arial" w:cs="Arial" w:eastAsia="Arial" w:hAnsi="Arial"/>
                <w:sz w:val="10"/>
                <w:szCs w:val="10"/>
                <w:b w:val="1"/>
                <w:bCs w:val="1"/>
                <w:color w:val="auto"/>
                <w:w w:val="96"/>
              </w:rPr>
              <w:t>Percentage</w:t>
            </w:r>
          </w:p>
        </w:tc>
        <w:tc>
          <w:tcPr>
            <w:tcW w:w="0" w:type="dxa"/>
            <w:vAlign w:val="bottom"/>
          </w:tcPr>
          <w:p>
            <w:pPr>
              <w:spacing w:after="0"/>
              <w:rPr>
                <w:sz w:val="1"/>
                <w:szCs w:val="1"/>
                <w:color w:val="auto"/>
              </w:rPr>
            </w:pPr>
          </w:p>
        </w:tc>
      </w:tr>
      <w:tr>
        <w:trPr>
          <w:trHeight w:val="109"/>
        </w:trPr>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shd w:val="clear" w:color="auto" w:fill="07B3E7"/>
          </w:tcPr>
          <w:p>
            <w:pPr>
              <w:spacing w:after="0" w:line="110" w:lineRule="exact"/>
              <w:rPr>
                <w:sz w:val="20"/>
                <w:szCs w:val="20"/>
                <w:color w:val="auto"/>
              </w:rPr>
            </w:pPr>
            <w:r>
              <w:rPr>
                <w:rFonts w:ascii="Arial" w:cs="Arial" w:eastAsia="Arial" w:hAnsi="Arial"/>
                <w:sz w:val="10"/>
                <w:szCs w:val="10"/>
                <w:b w:val="1"/>
                <w:bCs w:val="1"/>
                <w:color w:val="FFFFFE"/>
              </w:rPr>
              <w:t>Chief Financial Officer</w:t>
            </w:r>
          </w:p>
        </w:tc>
        <w:tc>
          <w:tcPr>
            <w:tcW w:w="1080" w:type="dxa"/>
            <w:vAlign w:val="bottom"/>
            <w:tcBorders>
              <w:right w:val="single" w:sz="8" w:color="07B3E7"/>
            </w:tcBorders>
            <w:shd w:val="clear" w:color="auto" w:fill="07B3E7"/>
          </w:tcPr>
          <w:p>
            <w:pPr>
              <w:spacing w:after="0"/>
              <w:rPr>
                <w:sz w:val="9"/>
                <w:szCs w:val="9"/>
                <w:color w:val="auto"/>
              </w:rPr>
            </w:pPr>
          </w:p>
        </w:tc>
        <w:tc>
          <w:tcPr>
            <w:tcW w:w="960" w:type="dxa"/>
            <w:vAlign w:val="bottom"/>
            <w:tcBorders>
              <w:right w:val="single" w:sz="8" w:color="07B3E7"/>
            </w:tcBorders>
            <w:shd w:val="clear" w:color="auto" w:fill="07B3E7"/>
          </w:tcPr>
          <w:p>
            <w:pPr>
              <w:spacing w:after="0"/>
              <w:rPr>
                <w:sz w:val="9"/>
                <w:szCs w:val="9"/>
                <w:color w:val="auto"/>
              </w:rPr>
            </w:pPr>
          </w:p>
        </w:tc>
        <w:tc>
          <w:tcPr>
            <w:tcW w:w="220" w:type="dxa"/>
            <w:vAlign w:val="bottom"/>
            <w:shd w:val="clear" w:color="auto" w:fill="07B3E7"/>
          </w:tcPr>
          <w:p>
            <w:pPr>
              <w:spacing w:after="0"/>
              <w:rPr>
                <w:sz w:val="9"/>
                <w:szCs w:val="9"/>
                <w:color w:val="auto"/>
              </w:rPr>
            </w:pPr>
          </w:p>
        </w:tc>
        <w:tc>
          <w:tcPr>
            <w:tcW w:w="700" w:type="dxa"/>
            <w:vAlign w:val="bottom"/>
            <w:tcBorders>
              <w:right w:val="single" w:sz="8" w:color="07B3E7"/>
            </w:tcBorders>
            <w:shd w:val="clear" w:color="auto" w:fill="07B3E7"/>
          </w:tcPr>
          <w:p>
            <w:pPr>
              <w:spacing w:after="0"/>
              <w:rPr>
                <w:sz w:val="9"/>
                <w:szCs w:val="9"/>
                <w:color w:val="auto"/>
              </w:rPr>
            </w:pPr>
          </w:p>
        </w:tc>
        <w:tc>
          <w:tcPr>
            <w:tcW w:w="140" w:type="dxa"/>
            <w:vAlign w:val="bottom"/>
            <w:shd w:val="clear" w:color="auto" w:fill="07B3E7"/>
          </w:tcPr>
          <w:p>
            <w:pPr>
              <w:spacing w:after="0"/>
              <w:rPr>
                <w:sz w:val="9"/>
                <w:szCs w:val="9"/>
                <w:color w:val="auto"/>
              </w:rPr>
            </w:pPr>
          </w:p>
        </w:tc>
        <w:tc>
          <w:tcPr>
            <w:tcW w:w="800" w:type="dxa"/>
            <w:vAlign w:val="bottom"/>
            <w:tcBorders>
              <w:right w:val="single" w:sz="8" w:color="07B3E7"/>
            </w:tcBorders>
            <w:shd w:val="clear" w:color="auto" w:fill="07B3E7"/>
          </w:tcPr>
          <w:p>
            <w:pPr>
              <w:spacing w:after="0"/>
              <w:rPr>
                <w:sz w:val="9"/>
                <w:szCs w:val="9"/>
                <w:color w:val="auto"/>
              </w:rPr>
            </w:pPr>
          </w:p>
        </w:tc>
        <w:tc>
          <w:tcPr>
            <w:tcW w:w="220" w:type="dxa"/>
            <w:vAlign w:val="bottom"/>
            <w:shd w:val="clear" w:color="auto" w:fill="07B3E7"/>
          </w:tcPr>
          <w:p>
            <w:pPr>
              <w:spacing w:after="0"/>
              <w:rPr>
                <w:sz w:val="9"/>
                <w:szCs w:val="9"/>
                <w:color w:val="auto"/>
              </w:rPr>
            </w:pPr>
          </w:p>
        </w:tc>
        <w:tc>
          <w:tcPr>
            <w:tcW w:w="700" w:type="dxa"/>
            <w:vAlign w:val="bottom"/>
            <w:tcBorders>
              <w:right w:val="single" w:sz="8" w:color="07B3E7"/>
            </w:tcBorders>
            <w:shd w:val="clear" w:color="auto" w:fill="07B3E7"/>
          </w:tcPr>
          <w:p>
            <w:pPr>
              <w:spacing w:after="0"/>
              <w:rPr>
                <w:sz w:val="9"/>
                <w:szCs w:val="9"/>
                <w:color w:val="auto"/>
              </w:rPr>
            </w:pPr>
          </w:p>
        </w:tc>
        <w:tc>
          <w:tcPr>
            <w:tcW w:w="100" w:type="dxa"/>
            <w:vAlign w:val="bottom"/>
            <w:shd w:val="clear" w:color="auto" w:fill="07B3E7"/>
          </w:tcPr>
          <w:p>
            <w:pPr>
              <w:spacing w:after="0"/>
              <w:rPr>
                <w:sz w:val="9"/>
                <w:szCs w:val="9"/>
                <w:color w:val="auto"/>
              </w:rPr>
            </w:pPr>
          </w:p>
        </w:tc>
        <w:tc>
          <w:tcPr>
            <w:tcW w:w="780" w:type="dxa"/>
            <w:vAlign w:val="bottom"/>
            <w:tcBorders>
              <w:right w:val="single" w:sz="8" w:color="07B3E7"/>
            </w:tcBorders>
            <w:shd w:val="clear" w:color="auto" w:fill="07B3E7"/>
          </w:tcPr>
          <w:p>
            <w:pPr>
              <w:spacing w:after="0"/>
              <w:rPr>
                <w:sz w:val="9"/>
                <w:szCs w:val="9"/>
                <w:color w:val="auto"/>
              </w:rPr>
            </w:pPr>
          </w:p>
        </w:tc>
        <w:tc>
          <w:tcPr>
            <w:tcW w:w="1060" w:type="dxa"/>
            <w:vAlign w:val="bottom"/>
            <w:shd w:val="clear" w:color="auto" w:fill="07B3E7"/>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20" w:type="dxa"/>
            <w:vAlign w:val="bottom"/>
            <w:tcBorders>
              <w:bottom w:val="single" w:sz="8" w:color="00B2E5"/>
            </w:tcBorders>
            <w:gridSpan w:val="2"/>
          </w:tcPr>
          <w:p>
            <w:pPr>
              <w:spacing w:after="0"/>
              <w:rPr>
                <w:sz w:val="20"/>
                <w:szCs w:val="20"/>
                <w:color w:val="auto"/>
              </w:rPr>
            </w:pPr>
            <w:r>
              <w:rPr>
                <w:rFonts w:ascii="Arial" w:cs="Arial" w:eastAsia="Arial" w:hAnsi="Arial"/>
                <w:sz w:val="10"/>
                <w:szCs w:val="10"/>
                <w:color w:val="auto"/>
              </w:rPr>
              <w:t>Adjusted EBITDA</w:t>
            </w:r>
          </w:p>
        </w:tc>
        <w:tc>
          <w:tcPr>
            <w:tcW w:w="1080" w:type="dxa"/>
            <w:vAlign w:val="bottom"/>
            <w:tcBorders>
              <w:bottom w:val="single" w:sz="8" w:color="00B2E5"/>
              <w:right w:val="single" w:sz="8" w:color="00B2E5"/>
            </w:tcBorders>
          </w:tcPr>
          <w:p>
            <w:pPr>
              <w:spacing w:after="0"/>
              <w:rPr>
                <w:sz w:val="19"/>
                <w:szCs w:val="19"/>
                <w:color w:val="auto"/>
              </w:rPr>
            </w:pPr>
          </w:p>
        </w:tc>
        <w:tc>
          <w:tcPr>
            <w:tcW w:w="960" w:type="dxa"/>
            <w:vAlign w:val="bottom"/>
            <w:tcBorders>
              <w:bottom w:val="single" w:sz="8" w:color="00B2E5"/>
              <w:right w:val="single" w:sz="8" w:color="00B2E5"/>
            </w:tcBorders>
          </w:tcPr>
          <w:p>
            <w:pPr>
              <w:jc w:val="right"/>
              <w:ind w:right="191"/>
              <w:spacing w:after="0"/>
              <w:rPr>
                <w:sz w:val="20"/>
                <w:szCs w:val="20"/>
                <w:color w:val="auto"/>
              </w:rPr>
            </w:pPr>
            <w:r>
              <w:rPr>
                <w:rFonts w:ascii="Arial" w:cs="Arial" w:eastAsia="Arial" w:hAnsi="Arial"/>
                <w:sz w:val="10"/>
                <w:szCs w:val="10"/>
                <w:color w:val="auto"/>
              </w:rPr>
              <w:t>35%</w:t>
            </w:r>
          </w:p>
        </w:tc>
        <w:tc>
          <w:tcPr>
            <w:tcW w:w="220" w:type="dxa"/>
            <w:vAlign w:val="bottom"/>
            <w:tcBorders>
              <w:bottom w:val="single" w:sz="8" w:color="00B2E5"/>
            </w:tcBorders>
          </w:tcPr>
          <w:p>
            <w:pPr>
              <w:jc w:val="right"/>
              <w:ind w:right="7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00B2E5"/>
              <w:right w:val="single" w:sz="8" w:color="00B2E5"/>
            </w:tcBorders>
          </w:tcPr>
          <w:p>
            <w:pPr>
              <w:jc w:val="right"/>
              <w:ind w:right="289"/>
              <w:spacing w:after="0"/>
              <w:rPr>
                <w:sz w:val="20"/>
                <w:szCs w:val="20"/>
                <w:color w:val="auto"/>
              </w:rPr>
            </w:pPr>
            <w:r>
              <w:rPr>
                <w:rFonts w:ascii="Arial" w:cs="Arial" w:eastAsia="Arial" w:hAnsi="Arial"/>
                <w:sz w:val="10"/>
                <w:szCs w:val="10"/>
                <w:color w:val="auto"/>
              </w:rPr>
              <w:t>666.0</w:t>
            </w:r>
          </w:p>
        </w:tc>
        <w:tc>
          <w:tcPr>
            <w:tcW w:w="140" w:type="dxa"/>
            <w:vAlign w:val="bottom"/>
            <w:tcBorders>
              <w:bottom w:val="single" w:sz="8" w:color="00B2E5"/>
            </w:tcBorders>
          </w:tcPr>
          <w:p>
            <w:pPr>
              <w:jc w:val="right"/>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00B2E5"/>
              <w:right w:val="single" w:sz="8" w:color="00B2E5"/>
            </w:tcBorders>
          </w:tcPr>
          <w:p>
            <w:pPr>
              <w:jc w:val="right"/>
              <w:ind w:right="291"/>
              <w:spacing w:after="0"/>
              <w:rPr>
                <w:sz w:val="20"/>
                <w:szCs w:val="20"/>
                <w:color w:val="auto"/>
              </w:rPr>
            </w:pPr>
            <w:r>
              <w:rPr>
                <w:rFonts w:ascii="Arial" w:cs="Arial" w:eastAsia="Arial" w:hAnsi="Arial"/>
                <w:sz w:val="10"/>
                <w:szCs w:val="10"/>
                <w:color w:val="auto"/>
              </w:rPr>
              <w:t>740.0</w:t>
            </w:r>
          </w:p>
        </w:tc>
        <w:tc>
          <w:tcPr>
            <w:tcW w:w="220" w:type="dxa"/>
            <w:vAlign w:val="bottom"/>
            <w:tcBorders>
              <w:bottom w:val="single" w:sz="8" w:color="00B2E5"/>
            </w:tcBorders>
          </w:tcPr>
          <w:p>
            <w:pPr>
              <w:jc w:val="right"/>
              <w:ind w:right="7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00B2E5"/>
              <w:right w:val="single" w:sz="8" w:color="00B2E5"/>
            </w:tcBorders>
          </w:tcPr>
          <w:p>
            <w:pPr>
              <w:jc w:val="right"/>
              <w:ind w:right="291"/>
              <w:spacing w:after="0"/>
              <w:rPr>
                <w:sz w:val="20"/>
                <w:szCs w:val="20"/>
                <w:color w:val="auto"/>
              </w:rPr>
            </w:pPr>
            <w:r>
              <w:rPr>
                <w:rFonts w:ascii="Arial" w:cs="Arial" w:eastAsia="Arial" w:hAnsi="Arial"/>
                <w:sz w:val="10"/>
                <w:szCs w:val="10"/>
                <w:color w:val="auto"/>
              </w:rPr>
              <w:t>814.0</w:t>
            </w:r>
          </w:p>
        </w:tc>
        <w:tc>
          <w:tcPr>
            <w:tcW w:w="100" w:type="dxa"/>
            <w:vAlign w:val="bottom"/>
            <w:tcBorders>
              <w:bottom w:val="single" w:sz="8" w:color="00B2E5"/>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00B2E5"/>
              <w:right w:val="single" w:sz="8" w:color="00B2E5"/>
            </w:tcBorders>
          </w:tcPr>
          <w:p>
            <w:pPr>
              <w:jc w:val="right"/>
              <w:ind w:right="191"/>
              <w:spacing w:after="0"/>
              <w:rPr>
                <w:sz w:val="20"/>
                <w:szCs w:val="20"/>
                <w:color w:val="auto"/>
              </w:rPr>
            </w:pPr>
            <w:r>
              <w:rPr>
                <w:rFonts w:ascii="Arial" w:cs="Arial" w:eastAsia="Arial" w:hAnsi="Arial"/>
                <w:sz w:val="10"/>
                <w:szCs w:val="10"/>
                <w:color w:val="auto"/>
              </w:rPr>
              <w:t>746.1</w:t>
            </w:r>
          </w:p>
        </w:tc>
        <w:tc>
          <w:tcPr>
            <w:tcW w:w="1060" w:type="dxa"/>
            <w:vAlign w:val="bottom"/>
            <w:tcBorders>
              <w:bottom w:val="single" w:sz="8" w:color="00B2E5"/>
            </w:tcBorders>
          </w:tcPr>
          <w:p>
            <w:pPr>
              <w:jc w:val="right"/>
              <w:ind w:right="191"/>
              <w:spacing w:after="0"/>
              <w:rPr>
                <w:sz w:val="20"/>
                <w:szCs w:val="20"/>
                <w:color w:val="auto"/>
              </w:rPr>
            </w:pPr>
            <w:r>
              <w:rPr>
                <w:rFonts w:ascii="Arial" w:cs="Arial" w:eastAsia="Arial" w:hAnsi="Arial"/>
                <w:sz w:val="10"/>
                <w:szCs w:val="10"/>
                <w:color w:val="auto"/>
              </w:rPr>
              <w:t>37.9%</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tcBorders>
              <w:bottom w:val="single" w:sz="8" w:color="00B2E5"/>
            </w:tcBorders>
            <w:gridSpan w:val="2"/>
          </w:tcPr>
          <w:p>
            <w:pPr>
              <w:spacing w:after="0"/>
              <w:rPr>
                <w:sz w:val="20"/>
                <w:szCs w:val="20"/>
                <w:color w:val="auto"/>
              </w:rPr>
            </w:pPr>
            <w:r>
              <w:rPr>
                <w:rFonts w:ascii="Arial" w:cs="Arial" w:eastAsia="Arial" w:hAnsi="Arial"/>
                <w:sz w:val="10"/>
                <w:szCs w:val="10"/>
                <w:color w:val="auto"/>
              </w:rPr>
              <w:t>NSR Operating Margin %</w:t>
            </w:r>
          </w:p>
        </w:tc>
        <w:tc>
          <w:tcPr>
            <w:tcW w:w="1080" w:type="dxa"/>
            <w:vAlign w:val="bottom"/>
            <w:tcBorders>
              <w:bottom w:val="single" w:sz="8" w:color="00B2E5"/>
              <w:right w:val="single" w:sz="8" w:color="00B2E5"/>
            </w:tcBorders>
          </w:tcPr>
          <w:p>
            <w:pPr>
              <w:spacing w:after="0"/>
              <w:rPr>
                <w:sz w:val="18"/>
                <w:szCs w:val="18"/>
                <w:color w:val="auto"/>
              </w:rPr>
            </w:pPr>
          </w:p>
        </w:tc>
        <w:tc>
          <w:tcPr>
            <w:tcW w:w="960" w:type="dxa"/>
            <w:vAlign w:val="bottom"/>
            <w:tcBorders>
              <w:bottom w:val="single" w:sz="8" w:color="00B2E5"/>
              <w:right w:val="single" w:sz="8" w:color="00B2E5"/>
            </w:tcBorders>
          </w:tcPr>
          <w:p>
            <w:pPr>
              <w:jc w:val="right"/>
              <w:ind w:right="191"/>
              <w:spacing w:after="0"/>
              <w:rPr>
                <w:sz w:val="20"/>
                <w:szCs w:val="20"/>
                <w:color w:val="auto"/>
              </w:rPr>
            </w:pPr>
            <w:r>
              <w:rPr>
                <w:rFonts w:ascii="Arial" w:cs="Arial" w:eastAsia="Arial" w:hAnsi="Arial"/>
                <w:sz w:val="10"/>
                <w:szCs w:val="10"/>
                <w:color w:val="auto"/>
              </w:rPr>
              <w:t>35%</w:t>
            </w:r>
          </w:p>
        </w:tc>
        <w:tc>
          <w:tcPr>
            <w:tcW w:w="220" w:type="dxa"/>
            <w:vAlign w:val="bottom"/>
            <w:tcBorders>
              <w:bottom w:val="single" w:sz="8" w:color="00B2E5"/>
            </w:tcBorders>
          </w:tcPr>
          <w:p>
            <w:pPr>
              <w:spacing w:after="0"/>
              <w:rPr>
                <w:sz w:val="18"/>
                <w:szCs w:val="18"/>
                <w:color w:val="auto"/>
              </w:rPr>
            </w:pPr>
          </w:p>
        </w:tc>
        <w:tc>
          <w:tcPr>
            <w:tcW w:w="700" w:type="dxa"/>
            <w:vAlign w:val="bottom"/>
            <w:tcBorders>
              <w:bottom w:val="single" w:sz="8" w:color="00B2E5"/>
              <w:right w:val="single" w:sz="8" w:color="00B2E5"/>
            </w:tcBorders>
          </w:tcPr>
          <w:p>
            <w:pPr>
              <w:jc w:val="right"/>
              <w:ind w:right="189"/>
              <w:spacing w:after="0"/>
              <w:rPr>
                <w:sz w:val="20"/>
                <w:szCs w:val="20"/>
                <w:color w:val="auto"/>
              </w:rPr>
            </w:pPr>
            <w:r>
              <w:rPr>
                <w:rFonts w:ascii="Arial" w:cs="Arial" w:eastAsia="Arial" w:hAnsi="Arial"/>
                <w:sz w:val="10"/>
                <w:szCs w:val="10"/>
                <w:color w:val="auto"/>
              </w:rPr>
              <w:t>10.4%</w:t>
            </w:r>
          </w:p>
        </w:tc>
        <w:tc>
          <w:tcPr>
            <w:tcW w:w="140" w:type="dxa"/>
            <w:vAlign w:val="bottom"/>
            <w:tcBorders>
              <w:bottom w:val="single" w:sz="8" w:color="00B2E5"/>
            </w:tcBorders>
          </w:tcPr>
          <w:p>
            <w:pPr>
              <w:spacing w:after="0"/>
              <w:rPr>
                <w:sz w:val="18"/>
                <w:szCs w:val="18"/>
                <w:color w:val="auto"/>
              </w:rPr>
            </w:pPr>
          </w:p>
        </w:tc>
        <w:tc>
          <w:tcPr>
            <w:tcW w:w="800" w:type="dxa"/>
            <w:vAlign w:val="bottom"/>
            <w:tcBorders>
              <w:bottom w:val="single" w:sz="8" w:color="00B2E5"/>
              <w:right w:val="single" w:sz="8" w:color="00B2E5"/>
            </w:tcBorders>
          </w:tcPr>
          <w:p>
            <w:pPr>
              <w:jc w:val="right"/>
              <w:ind w:right="211"/>
              <w:spacing w:after="0"/>
              <w:rPr>
                <w:sz w:val="20"/>
                <w:szCs w:val="20"/>
                <w:color w:val="auto"/>
              </w:rPr>
            </w:pPr>
            <w:r>
              <w:rPr>
                <w:rFonts w:ascii="Arial" w:cs="Arial" w:eastAsia="Arial" w:hAnsi="Arial"/>
                <w:sz w:val="10"/>
                <w:szCs w:val="10"/>
                <w:color w:val="auto"/>
              </w:rPr>
              <w:t>11.5%</w:t>
            </w:r>
          </w:p>
        </w:tc>
        <w:tc>
          <w:tcPr>
            <w:tcW w:w="220" w:type="dxa"/>
            <w:vAlign w:val="bottom"/>
            <w:tcBorders>
              <w:bottom w:val="single" w:sz="8" w:color="00B2E5"/>
            </w:tcBorders>
          </w:tcPr>
          <w:p>
            <w:pPr>
              <w:spacing w:after="0"/>
              <w:rPr>
                <w:sz w:val="18"/>
                <w:szCs w:val="18"/>
                <w:color w:val="auto"/>
              </w:rPr>
            </w:pPr>
          </w:p>
        </w:tc>
        <w:tc>
          <w:tcPr>
            <w:tcW w:w="700" w:type="dxa"/>
            <w:vAlign w:val="bottom"/>
            <w:tcBorders>
              <w:bottom w:val="single" w:sz="8" w:color="00B2E5"/>
              <w:right w:val="single" w:sz="8" w:color="00B2E5"/>
            </w:tcBorders>
          </w:tcPr>
          <w:p>
            <w:pPr>
              <w:jc w:val="right"/>
              <w:ind w:right="191"/>
              <w:spacing w:after="0"/>
              <w:rPr>
                <w:sz w:val="20"/>
                <w:szCs w:val="20"/>
                <w:color w:val="auto"/>
              </w:rPr>
            </w:pPr>
            <w:r>
              <w:rPr>
                <w:rFonts w:ascii="Arial" w:cs="Arial" w:eastAsia="Arial" w:hAnsi="Arial"/>
                <w:sz w:val="10"/>
                <w:szCs w:val="10"/>
                <w:color w:val="auto"/>
              </w:rPr>
              <w:t>12.7%</w:t>
            </w:r>
          </w:p>
        </w:tc>
        <w:tc>
          <w:tcPr>
            <w:tcW w:w="100" w:type="dxa"/>
            <w:vAlign w:val="bottom"/>
            <w:tcBorders>
              <w:bottom w:val="single" w:sz="8" w:color="00B2E5"/>
            </w:tcBorders>
          </w:tcPr>
          <w:p>
            <w:pPr>
              <w:spacing w:after="0"/>
              <w:rPr>
                <w:sz w:val="18"/>
                <w:szCs w:val="18"/>
                <w:color w:val="auto"/>
              </w:rPr>
            </w:pPr>
          </w:p>
        </w:tc>
        <w:tc>
          <w:tcPr>
            <w:tcW w:w="780" w:type="dxa"/>
            <w:vAlign w:val="bottom"/>
            <w:tcBorders>
              <w:bottom w:val="single" w:sz="8" w:color="00B2E5"/>
              <w:right w:val="single" w:sz="8" w:color="00B2E5"/>
            </w:tcBorders>
          </w:tcPr>
          <w:p>
            <w:pPr>
              <w:jc w:val="right"/>
              <w:ind w:right="111"/>
              <w:spacing w:after="0"/>
              <w:rPr>
                <w:sz w:val="20"/>
                <w:szCs w:val="20"/>
                <w:color w:val="auto"/>
              </w:rPr>
            </w:pPr>
            <w:r>
              <w:rPr>
                <w:rFonts w:ascii="Arial" w:cs="Arial" w:eastAsia="Arial" w:hAnsi="Arial"/>
                <w:sz w:val="10"/>
                <w:szCs w:val="10"/>
                <w:color w:val="auto"/>
              </w:rPr>
              <w:t>12.3%</w:t>
            </w:r>
          </w:p>
        </w:tc>
        <w:tc>
          <w:tcPr>
            <w:tcW w:w="1060" w:type="dxa"/>
            <w:vAlign w:val="bottom"/>
            <w:tcBorders>
              <w:bottom w:val="single" w:sz="8" w:color="00B2E5"/>
            </w:tcBorders>
          </w:tcPr>
          <w:p>
            <w:pPr>
              <w:jc w:val="right"/>
              <w:ind w:right="191"/>
              <w:spacing w:after="0"/>
              <w:rPr>
                <w:sz w:val="20"/>
                <w:szCs w:val="20"/>
                <w:color w:val="auto"/>
              </w:rPr>
            </w:pPr>
            <w:r>
              <w:rPr>
                <w:rFonts w:ascii="Arial" w:cs="Arial" w:eastAsia="Arial" w:hAnsi="Arial"/>
                <w:sz w:val="10"/>
                <w:szCs w:val="10"/>
                <w:color w:val="auto"/>
              </w:rPr>
              <w:t>58.3%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720" w:type="dxa"/>
            <w:vAlign w:val="bottom"/>
            <w:gridSpan w:val="2"/>
          </w:tcPr>
          <w:p>
            <w:pPr>
              <w:spacing w:after="0" w:line="99" w:lineRule="exact"/>
              <w:rPr>
                <w:sz w:val="20"/>
                <w:szCs w:val="20"/>
                <w:color w:val="auto"/>
              </w:rPr>
            </w:pPr>
            <w:r>
              <w:rPr>
                <w:rFonts w:ascii="Arial" w:cs="Arial" w:eastAsia="Arial" w:hAnsi="Arial"/>
                <w:sz w:val="10"/>
                <w:szCs w:val="10"/>
                <w:color w:val="auto"/>
              </w:rPr>
              <w:t>KPIs</w:t>
            </w:r>
          </w:p>
        </w:tc>
        <w:tc>
          <w:tcPr>
            <w:tcW w:w="1080" w:type="dxa"/>
            <w:vAlign w:val="bottom"/>
            <w:tcBorders>
              <w:right w:val="single" w:sz="8" w:color="00B2E5"/>
            </w:tcBorders>
          </w:tcPr>
          <w:p>
            <w:pPr>
              <w:spacing w:after="0"/>
              <w:rPr>
                <w:sz w:val="8"/>
                <w:szCs w:val="8"/>
                <w:color w:val="auto"/>
              </w:rPr>
            </w:pPr>
          </w:p>
        </w:tc>
        <w:tc>
          <w:tcPr>
            <w:tcW w:w="960" w:type="dxa"/>
            <w:vAlign w:val="bottom"/>
            <w:tcBorders>
              <w:right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30%</w:t>
            </w:r>
          </w:p>
        </w:tc>
        <w:tc>
          <w:tcPr>
            <w:tcW w:w="220" w:type="dxa"/>
            <w:vAlign w:val="bottom"/>
            <w:shd w:val="clear" w:color="auto" w:fill="90D1F1"/>
          </w:tcPr>
          <w:p>
            <w:pPr>
              <w:spacing w:after="0"/>
              <w:rPr>
                <w:sz w:val="8"/>
                <w:szCs w:val="8"/>
                <w:color w:val="auto"/>
              </w:rPr>
            </w:pPr>
          </w:p>
        </w:tc>
        <w:tc>
          <w:tcPr>
            <w:tcW w:w="700" w:type="dxa"/>
            <w:vAlign w:val="bottom"/>
            <w:tcBorders>
              <w:right w:val="single" w:sz="8" w:color="90D1F1"/>
            </w:tcBorders>
            <w:shd w:val="clear" w:color="auto" w:fill="90D1F1"/>
          </w:tcPr>
          <w:p>
            <w:pPr>
              <w:spacing w:after="0"/>
              <w:rPr>
                <w:sz w:val="8"/>
                <w:szCs w:val="8"/>
                <w:color w:val="auto"/>
              </w:rPr>
            </w:pPr>
          </w:p>
        </w:tc>
        <w:tc>
          <w:tcPr>
            <w:tcW w:w="140" w:type="dxa"/>
            <w:vAlign w:val="bottom"/>
            <w:shd w:val="clear" w:color="auto" w:fill="90D1F1"/>
          </w:tcPr>
          <w:p>
            <w:pPr>
              <w:spacing w:after="0"/>
              <w:rPr>
                <w:sz w:val="8"/>
                <w:szCs w:val="8"/>
                <w:color w:val="auto"/>
              </w:rPr>
            </w:pPr>
          </w:p>
        </w:tc>
        <w:tc>
          <w:tcPr>
            <w:tcW w:w="800" w:type="dxa"/>
            <w:vAlign w:val="bottom"/>
            <w:tcBorders>
              <w:right w:val="single" w:sz="8" w:color="90D1F1"/>
            </w:tcBorders>
            <w:shd w:val="clear" w:color="auto" w:fill="90D1F1"/>
          </w:tcPr>
          <w:p>
            <w:pPr>
              <w:spacing w:after="0"/>
              <w:rPr>
                <w:sz w:val="8"/>
                <w:szCs w:val="8"/>
                <w:color w:val="auto"/>
              </w:rPr>
            </w:pPr>
          </w:p>
        </w:tc>
        <w:tc>
          <w:tcPr>
            <w:tcW w:w="220" w:type="dxa"/>
            <w:vAlign w:val="bottom"/>
            <w:shd w:val="clear" w:color="auto" w:fill="90D1F1"/>
          </w:tcPr>
          <w:p>
            <w:pPr>
              <w:spacing w:after="0"/>
              <w:rPr>
                <w:sz w:val="8"/>
                <w:szCs w:val="8"/>
                <w:color w:val="auto"/>
              </w:rPr>
            </w:pPr>
          </w:p>
        </w:tc>
        <w:tc>
          <w:tcPr>
            <w:tcW w:w="700" w:type="dxa"/>
            <w:vAlign w:val="bottom"/>
            <w:tcBorders>
              <w:right w:val="single" w:sz="8" w:color="90D1F1"/>
            </w:tcBorders>
            <w:shd w:val="clear" w:color="auto" w:fill="90D1F1"/>
          </w:tcPr>
          <w:p>
            <w:pPr>
              <w:spacing w:after="0"/>
              <w:rPr>
                <w:sz w:val="8"/>
                <w:szCs w:val="8"/>
                <w:color w:val="auto"/>
              </w:rPr>
            </w:pPr>
          </w:p>
        </w:tc>
        <w:tc>
          <w:tcPr>
            <w:tcW w:w="100" w:type="dxa"/>
            <w:vAlign w:val="bottom"/>
            <w:shd w:val="clear" w:color="auto" w:fill="90D1F1"/>
          </w:tcPr>
          <w:p>
            <w:pPr>
              <w:spacing w:after="0"/>
              <w:rPr>
                <w:sz w:val="8"/>
                <w:szCs w:val="8"/>
                <w:color w:val="auto"/>
              </w:rPr>
            </w:pPr>
          </w:p>
        </w:tc>
        <w:tc>
          <w:tcPr>
            <w:tcW w:w="780" w:type="dxa"/>
            <w:vAlign w:val="bottom"/>
            <w:tcBorders>
              <w:right w:val="single" w:sz="8" w:color="00B2E5"/>
            </w:tcBorders>
            <w:shd w:val="clear" w:color="auto" w:fill="90D1F1"/>
          </w:tcPr>
          <w:p>
            <w:pPr>
              <w:spacing w:after="0"/>
              <w:rPr>
                <w:sz w:val="8"/>
                <w:szCs w:val="8"/>
                <w:color w:val="auto"/>
              </w:rPr>
            </w:pPr>
          </w:p>
        </w:tc>
        <w:tc>
          <w:tcPr>
            <w:tcW w:w="1060" w:type="dxa"/>
            <w:vAlign w:val="bottom"/>
          </w:tcPr>
          <w:p>
            <w:pPr>
              <w:jc w:val="right"/>
              <w:ind w:right="191"/>
              <w:spacing w:after="0" w:line="99" w:lineRule="exact"/>
              <w:rPr>
                <w:sz w:val="20"/>
                <w:szCs w:val="20"/>
                <w:color w:val="auto"/>
              </w:rPr>
            </w:pPr>
            <w:r>
              <w:rPr>
                <w:rFonts w:ascii="Arial" w:cs="Arial" w:eastAsia="Arial" w:hAnsi="Arial"/>
                <w:sz w:val="10"/>
                <w:szCs w:val="10"/>
                <w:color w:val="auto"/>
              </w:rPr>
              <w:t>30.0%</w:t>
            </w: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tcBorders>
              <w:top w:val="single" w:sz="8" w:color="00B2E5"/>
              <w:bottom w:val="single" w:sz="8" w:color="00B2E5"/>
            </w:tcBorders>
          </w:tcPr>
          <w:p>
            <w:pPr>
              <w:spacing w:after="0" w:line="99" w:lineRule="exact"/>
              <w:rPr>
                <w:sz w:val="20"/>
                <w:szCs w:val="20"/>
                <w:color w:val="auto"/>
              </w:rPr>
            </w:pPr>
            <w:r>
              <w:rPr>
                <w:rFonts w:ascii="Arial" w:cs="Arial" w:eastAsia="Arial" w:hAnsi="Arial"/>
                <w:sz w:val="10"/>
                <w:szCs w:val="10"/>
                <w:b w:val="1"/>
                <w:bCs w:val="1"/>
                <w:color w:val="auto"/>
              </w:rPr>
              <w:t>Total</w:t>
            </w:r>
          </w:p>
        </w:tc>
        <w:tc>
          <w:tcPr>
            <w:tcW w:w="1080" w:type="dxa"/>
            <w:vAlign w:val="bottom"/>
            <w:tcBorders>
              <w:top w:val="single" w:sz="8" w:color="00B2E5"/>
              <w:bottom w:val="single" w:sz="8" w:color="00B2E5"/>
              <w:right w:val="single" w:sz="8" w:color="00B2E5"/>
            </w:tcBorders>
          </w:tcPr>
          <w:p>
            <w:pPr>
              <w:spacing w:after="0"/>
              <w:rPr>
                <w:sz w:val="8"/>
                <w:szCs w:val="8"/>
                <w:color w:val="auto"/>
              </w:rPr>
            </w:pPr>
          </w:p>
        </w:tc>
        <w:tc>
          <w:tcPr>
            <w:tcW w:w="96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220" w:type="dxa"/>
            <w:vAlign w:val="bottom"/>
            <w:tcBorders>
              <w:top w:val="single" w:sz="8" w:color="00B2E5"/>
              <w:bottom w:val="single" w:sz="8" w:color="00B2E5"/>
            </w:tcBorders>
            <w:shd w:val="clear" w:color="auto" w:fill="90D1F1"/>
          </w:tcPr>
          <w:p>
            <w:pPr>
              <w:spacing w:after="0"/>
              <w:rPr>
                <w:sz w:val="8"/>
                <w:szCs w:val="8"/>
                <w:color w:val="auto"/>
              </w:rPr>
            </w:pPr>
          </w:p>
        </w:tc>
        <w:tc>
          <w:tcPr>
            <w:tcW w:w="70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140" w:type="dxa"/>
            <w:vAlign w:val="bottom"/>
            <w:tcBorders>
              <w:top w:val="single" w:sz="8" w:color="00B2E5"/>
              <w:bottom w:val="single" w:sz="8" w:color="00B2E5"/>
            </w:tcBorders>
            <w:shd w:val="clear" w:color="auto" w:fill="90D1F1"/>
          </w:tcPr>
          <w:p>
            <w:pPr>
              <w:spacing w:after="0"/>
              <w:rPr>
                <w:sz w:val="8"/>
                <w:szCs w:val="8"/>
                <w:color w:val="auto"/>
              </w:rPr>
            </w:pPr>
          </w:p>
        </w:tc>
        <w:tc>
          <w:tcPr>
            <w:tcW w:w="80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220" w:type="dxa"/>
            <w:vAlign w:val="bottom"/>
            <w:tcBorders>
              <w:top w:val="single" w:sz="8" w:color="00B2E5"/>
              <w:bottom w:val="single" w:sz="8" w:color="00B2E5"/>
            </w:tcBorders>
            <w:shd w:val="clear" w:color="auto" w:fill="90D1F1"/>
          </w:tcPr>
          <w:p>
            <w:pPr>
              <w:spacing w:after="0"/>
              <w:rPr>
                <w:sz w:val="8"/>
                <w:szCs w:val="8"/>
                <w:color w:val="auto"/>
              </w:rPr>
            </w:pPr>
          </w:p>
        </w:tc>
        <w:tc>
          <w:tcPr>
            <w:tcW w:w="70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100" w:type="dxa"/>
            <w:vAlign w:val="bottom"/>
            <w:tcBorders>
              <w:top w:val="single" w:sz="8" w:color="00B2E5"/>
              <w:bottom w:val="single" w:sz="8" w:color="00B2E5"/>
            </w:tcBorders>
            <w:shd w:val="clear" w:color="auto" w:fill="90D1F1"/>
          </w:tcPr>
          <w:p>
            <w:pPr>
              <w:spacing w:after="0"/>
              <w:rPr>
                <w:sz w:val="8"/>
                <w:szCs w:val="8"/>
                <w:color w:val="auto"/>
              </w:rPr>
            </w:pPr>
          </w:p>
        </w:tc>
        <w:tc>
          <w:tcPr>
            <w:tcW w:w="780" w:type="dxa"/>
            <w:vAlign w:val="bottom"/>
            <w:tcBorders>
              <w:top w:val="single" w:sz="8" w:color="00B2E5"/>
              <w:bottom w:val="single" w:sz="8" w:color="00B2E5"/>
              <w:right w:val="single" w:sz="8" w:color="00B2E5"/>
            </w:tcBorders>
            <w:shd w:val="clear" w:color="auto" w:fill="90D1F1"/>
          </w:tcPr>
          <w:p>
            <w:pPr>
              <w:spacing w:after="0"/>
              <w:rPr>
                <w:sz w:val="8"/>
                <w:szCs w:val="8"/>
                <w:color w:val="auto"/>
              </w:rPr>
            </w:pPr>
          </w:p>
        </w:tc>
        <w:tc>
          <w:tcPr>
            <w:tcW w:w="1060" w:type="dxa"/>
            <w:vAlign w:val="bottom"/>
            <w:tcBorders>
              <w:top w:val="single" w:sz="8" w:color="00B2E5"/>
              <w:bottom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126.2%</w:t>
            </w: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1700" w:type="dxa"/>
            <w:vAlign w:val="bottom"/>
            <w:shd w:val="clear" w:color="auto" w:fill="07B3E7"/>
          </w:tcPr>
          <w:p>
            <w:pPr>
              <w:spacing w:after="0" w:line="110" w:lineRule="exact"/>
              <w:rPr>
                <w:sz w:val="20"/>
                <w:szCs w:val="20"/>
                <w:color w:val="auto"/>
              </w:rPr>
            </w:pPr>
            <w:r>
              <w:rPr>
                <w:rFonts w:ascii="Arial" w:cs="Arial" w:eastAsia="Arial" w:hAnsi="Arial"/>
                <w:sz w:val="10"/>
                <w:szCs w:val="10"/>
                <w:b w:val="1"/>
                <w:bCs w:val="1"/>
                <w:color w:val="FFFFFE"/>
              </w:rPr>
              <w:t>Global Controller</w:t>
            </w:r>
          </w:p>
        </w:tc>
        <w:tc>
          <w:tcPr>
            <w:tcW w:w="1080" w:type="dxa"/>
            <w:vAlign w:val="bottom"/>
            <w:tcBorders>
              <w:right w:val="single" w:sz="8" w:color="07B3E7"/>
            </w:tcBorders>
            <w:shd w:val="clear" w:color="auto" w:fill="07B3E7"/>
          </w:tcPr>
          <w:p>
            <w:pPr>
              <w:spacing w:after="0"/>
              <w:rPr>
                <w:sz w:val="9"/>
                <w:szCs w:val="9"/>
                <w:color w:val="auto"/>
              </w:rPr>
            </w:pPr>
          </w:p>
        </w:tc>
        <w:tc>
          <w:tcPr>
            <w:tcW w:w="960" w:type="dxa"/>
            <w:vAlign w:val="bottom"/>
            <w:tcBorders>
              <w:right w:val="single" w:sz="8" w:color="07B3E7"/>
            </w:tcBorders>
            <w:shd w:val="clear" w:color="auto" w:fill="07B3E7"/>
          </w:tcPr>
          <w:p>
            <w:pPr>
              <w:spacing w:after="0"/>
              <w:rPr>
                <w:sz w:val="9"/>
                <w:szCs w:val="9"/>
                <w:color w:val="auto"/>
              </w:rPr>
            </w:pPr>
          </w:p>
        </w:tc>
        <w:tc>
          <w:tcPr>
            <w:tcW w:w="220" w:type="dxa"/>
            <w:vAlign w:val="bottom"/>
            <w:shd w:val="clear" w:color="auto" w:fill="07B3E7"/>
          </w:tcPr>
          <w:p>
            <w:pPr>
              <w:spacing w:after="0"/>
              <w:rPr>
                <w:sz w:val="9"/>
                <w:szCs w:val="9"/>
                <w:color w:val="auto"/>
              </w:rPr>
            </w:pPr>
          </w:p>
        </w:tc>
        <w:tc>
          <w:tcPr>
            <w:tcW w:w="700" w:type="dxa"/>
            <w:vAlign w:val="bottom"/>
            <w:tcBorders>
              <w:right w:val="single" w:sz="8" w:color="07B3E7"/>
            </w:tcBorders>
            <w:shd w:val="clear" w:color="auto" w:fill="07B3E7"/>
          </w:tcPr>
          <w:p>
            <w:pPr>
              <w:spacing w:after="0"/>
              <w:rPr>
                <w:sz w:val="9"/>
                <w:szCs w:val="9"/>
                <w:color w:val="auto"/>
              </w:rPr>
            </w:pPr>
          </w:p>
        </w:tc>
        <w:tc>
          <w:tcPr>
            <w:tcW w:w="140" w:type="dxa"/>
            <w:vAlign w:val="bottom"/>
            <w:shd w:val="clear" w:color="auto" w:fill="07B3E7"/>
          </w:tcPr>
          <w:p>
            <w:pPr>
              <w:spacing w:after="0"/>
              <w:rPr>
                <w:sz w:val="9"/>
                <w:szCs w:val="9"/>
                <w:color w:val="auto"/>
              </w:rPr>
            </w:pPr>
          </w:p>
        </w:tc>
        <w:tc>
          <w:tcPr>
            <w:tcW w:w="800" w:type="dxa"/>
            <w:vAlign w:val="bottom"/>
            <w:tcBorders>
              <w:right w:val="single" w:sz="8" w:color="07B3E7"/>
            </w:tcBorders>
            <w:shd w:val="clear" w:color="auto" w:fill="07B3E7"/>
          </w:tcPr>
          <w:p>
            <w:pPr>
              <w:spacing w:after="0"/>
              <w:rPr>
                <w:sz w:val="9"/>
                <w:szCs w:val="9"/>
                <w:color w:val="auto"/>
              </w:rPr>
            </w:pPr>
          </w:p>
        </w:tc>
        <w:tc>
          <w:tcPr>
            <w:tcW w:w="220" w:type="dxa"/>
            <w:vAlign w:val="bottom"/>
            <w:shd w:val="clear" w:color="auto" w:fill="07B3E7"/>
          </w:tcPr>
          <w:p>
            <w:pPr>
              <w:spacing w:after="0"/>
              <w:rPr>
                <w:sz w:val="9"/>
                <w:szCs w:val="9"/>
                <w:color w:val="auto"/>
              </w:rPr>
            </w:pPr>
          </w:p>
        </w:tc>
        <w:tc>
          <w:tcPr>
            <w:tcW w:w="700" w:type="dxa"/>
            <w:vAlign w:val="bottom"/>
            <w:tcBorders>
              <w:right w:val="single" w:sz="8" w:color="07B3E7"/>
            </w:tcBorders>
            <w:shd w:val="clear" w:color="auto" w:fill="07B3E7"/>
          </w:tcPr>
          <w:p>
            <w:pPr>
              <w:spacing w:after="0"/>
              <w:rPr>
                <w:sz w:val="9"/>
                <w:szCs w:val="9"/>
                <w:color w:val="auto"/>
              </w:rPr>
            </w:pPr>
          </w:p>
        </w:tc>
        <w:tc>
          <w:tcPr>
            <w:tcW w:w="100" w:type="dxa"/>
            <w:vAlign w:val="bottom"/>
            <w:shd w:val="clear" w:color="auto" w:fill="07B3E7"/>
          </w:tcPr>
          <w:p>
            <w:pPr>
              <w:spacing w:after="0"/>
              <w:rPr>
                <w:sz w:val="9"/>
                <w:szCs w:val="9"/>
                <w:color w:val="auto"/>
              </w:rPr>
            </w:pPr>
          </w:p>
        </w:tc>
        <w:tc>
          <w:tcPr>
            <w:tcW w:w="780" w:type="dxa"/>
            <w:vAlign w:val="bottom"/>
            <w:tcBorders>
              <w:right w:val="single" w:sz="8" w:color="07B3E7"/>
            </w:tcBorders>
            <w:shd w:val="clear" w:color="auto" w:fill="07B3E7"/>
          </w:tcPr>
          <w:p>
            <w:pPr>
              <w:spacing w:after="0"/>
              <w:rPr>
                <w:sz w:val="9"/>
                <w:szCs w:val="9"/>
                <w:color w:val="auto"/>
              </w:rPr>
            </w:pPr>
          </w:p>
        </w:tc>
        <w:tc>
          <w:tcPr>
            <w:tcW w:w="1060" w:type="dxa"/>
            <w:vAlign w:val="bottom"/>
            <w:shd w:val="clear" w:color="auto" w:fill="07B3E7"/>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20" w:type="dxa"/>
            <w:vAlign w:val="bottom"/>
            <w:tcBorders>
              <w:bottom w:val="single" w:sz="8" w:color="00B2E5"/>
            </w:tcBorders>
            <w:gridSpan w:val="2"/>
          </w:tcPr>
          <w:p>
            <w:pPr>
              <w:spacing w:after="0"/>
              <w:rPr>
                <w:sz w:val="20"/>
                <w:szCs w:val="20"/>
                <w:color w:val="auto"/>
              </w:rPr>
            </w:pPr>
            <w:r>
              <w:rPr>
                <w:rFonts w:ascii="Arial" w:cs="Arial" w:eastAsia="Arial" w:hAnsi="Arial"/>
                <w:sz w:val="10"/>
                <w:szCs w:val="10"/>
                <w:color w:val="auto"/>
              </w:rPr>
              <w:t>Adjusted EBITDA</w:t>
            </w:r>
          </w:p>
        </w:tc>
        <w:tc>
          <w:tcPr>
            <w:tcW w:w="1080" w:type="dxa"/>
            <w:vAlign w:val="bottom"/>
            <w:tcBorders>
              <w:bottom w:val="single" w:sz="8" w:color="00B2E5"/>
              <w:right w:val="single" w:sz="8" w:color="00B2E5"/>
            </w:tcBorders>
          </w:tcPr>
          <w:p>
            <w:pPr>
              <w:spacing w:after="0"/>
              <w:rPr>
                <w:sz w:val="19"/>
                <w:szCs w:val="19"/>
                <w:color w:val="auto"/>
              </w:rPr>
            </w:pPr>
          </w:p>
        </w:tc>
        <w:tc>
          <w:tcPr>
            <w:tcW w:w="960" w:type="dxa"/>
            <w:vAlign w:val="bottom"/>
            <w:tcBorders>
              <w:bottom w:val="single" w:sz="8" w:color="00B2E5"/>
              <w:right w:val="single" w:sz="8" w:color="00B2E5"/>
            </w:tcBorders>
          </w:tcPr>
          <w:p>
            <w:pPr>
              <w:jc w:val="right"/>
              <w:ind w:right="191"/>
              <w:spacing w:after="0"/>
              <w:rPr>
                <w:sz w:val="20"/>
                <w:szCs w:val="20"/>
                <w:color w:val="auto"/>
              </w:rPr>
            </w:pPr>
            <w:r>
              <w:rPr>
                <w:rFonts w:ascii="Arial" w:cs="Arial" w:eastAsia="Arial" w:hAnsi="Arial"/>
                <w:sz w:val="10"/>
                <w:szCs w:val="10"/>
                <w:color w:val="auto"/>
              </w:rPr>
              <w:t>80%</w:t>
            </w:r>
          </w:p>
        </w:tc>
        <w:tc>
          <w:tcPr>
            <w:tcW w:w="220" w:type="dxa"/>
            <w:vAlign w:val="bottom"/>
            <w:tcBorders>
              <w:bottom w:val="single" w:sz="8" w:color="00B2E5"/>
            </w:tcBorders>
          </w:tcPr>
          <w:p>
            <w:pPr>
              <w:jc w:val="right"/>
              <w:ind w:right="7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00B2E5"/>
              <w:right w:val="single" w:sz="8" w:color="00B2E5"/>
            </w:tcBorders>
          </w:tcPr>
          <w:p>
            <w:pPr>
              <w:jc w:val="right"/>
              <w:ind w:right="289"/>
              <w:spacing w:after="0"/>
              <w:rPr>
                <w:sz w:val="20"/>
                <w:szCs w:val="20"/>
                <w:color w:val="auto"/>
              </w:rPr>
            </w:pPr>
            <w:r>
              <w:rPr>
                <w:rFonts w:ascii="Arial" w:cs="Arial" w:eastAsia="Arial" w:hAnsi="Arial"/>
                <w:sz w:val="10"/>
                <w:szCs w:val="10"/>
                <w:color w:val="auto"/>
              </w:rPr>
              <w:t>666.0</w:t>
            </w:r>
          </w:p>
        </w:tc>
        <w:tc>
          <w:tcPr>
            <w:tcW w:w="140" w:type="dxa"/>
            <w:vAlign w:val="bottom"/>
            <w:tcBorders>
              <w:bottom w:val="single" w:sz="8" w:color="00B2E5"/>
            </w:tcBorders>
          </w:tcPr>
          <w:p>
            <w:pPr>
              <w:jc w:val="right"/>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00B2E5"/>
              <w:right w:val="single" w:sz="8" w:color="00B2E5"/>
            </w:tcBorders>
          </w:tcPr>
          <w:p>
            <w:pPr>
              <w:jc w:val="right"/>
              <w:ind w:right="291"/>
              <w:spacing w:after="0"/>
              <w:rPr>
                <w:sz w:val="20"/>
                <w:szCs w:val="20"/>
                <w:color w:val="auto"/>
              </w:rPr>
            </w:pPr>
            <w:r>
              <w:rPr>
                <w:rFonts w:ascii="Arial" w:cs="Arial" w:eastAsia="Arial" w:hAnsi="Arial"/>
                <w:sz w:val="10"/>
                <w:szCs w:val="10"/>
                <w:color w:val="auto"/>
              </w:rPr>
              <w:t>740.0</w:t>
            </w:r>
          </w:p>
        </w:tc>
        <w:tc>
          <w:tcPr>
            <w:tcW w:w="220" w:type="dxa"/>
            <w:vAlign w:val="bottom"/>
            <w:tcBorders>
              <w:bottom w:val="single" w:sz="8" w:color="00B2E5"/>
            </w:tcBorders>
          </w:tcPr>
          <w:p>
            <w:pPr>
              <w:jc w:val="right"/>
              <w:ind w:right="7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00B2E5"/>
              <w:right w:val="single" w:sz="8" w:color="00B2E5"/>
            </w:tcBorders>
          </w:tcPr>
          <w:p>
            <w:pPr>
              <w:jc w:val="right"/>
              <w:ind w:right="291"/>
              <w:spacing w:after="0"/>
              <w:rPr>
                <w:sz w:val="20"/>
                <w:szCs w:val="20"/>
                <w:color w:val="auto"/>
              </w:rPr>
            </w:pPr>
            <w:r>
              <w:rPr>
                <w:rFonts w:ascii="Arial" w:cs="Arial" w:eastAsia="Arial" w:hAnsi="Arial"/>
                <w:sz w:val="10"/>
                <w:szCs w:val="10"/>
                <w:color w:val="auto"/>
              </w:rPr>
              <w:t>814.0</w:t>
            </w:r>
          </w:p>
        </w:tc>
        <w:tc>
          <w:tcPr>
            <w:tcW w:w="100" w:type="dxa"/>
            <w:vAlign w:val="bottom"/>
            <w:tcBorders>
              <w:bottom w:val="single" w:sz="8" w:color="00B2E5"/>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00B2E5"/>
              <w:right w:val="single" w:sz="8" w:color="00B2E5"/>
            </w:tcBorders>
          </w:tcPr>
          <w:p>
            <w:pPr>
              <w:jc w:val="right"/>
              <w:ind w:right="191"/>
              <w:spacing w:after="0"/>
              <w:rPr>
                <w:sz w:val="20"/>
                <w:szCs w:val="20"/>
                <w:color w:val="auto"/>
              </w:rPr>
            </w:pPr>
            <w:r>
              <w:rPr>
                <w:rFonts w:ascii="Arial" w:cs="Arial" w:eastAsia="Arial" w:hAnsi="Arial"/>
                <w:sz w:val="10"/>
                <w:szCs w:val="10"/>
                <w:color w:val="auto"/>
              </w:rPr>
              <w:t>746.1</w:t>
            </w:r>
          </w:p>
        </w:tc>
        <w:tc>
          <w:tcPr>
            <w:tcW w:w="1060" w:type="dxa"/>
            <w:vAlign w:val="bottom"/>
            <w:tcBorders>
              <w:bottom w:val="single" w:sz="8" w:color="00B2E5"/>
            </w:tcBorders>
          </w:tcPr>
          <w:p>
            <w:pPr>
              <w:jc w:val="right"/>
              <w:ind w:right="191"/>
              <w:spacing w:after="0"/>
              <w:rPr>
                <w:sz w:val="20"/>
                <w:szCs w:val="20"/>
                <w:color w:val="auto"/>
              </w:rPr>
            </w:pPr>
            <w:r>
              <w:rPr>
                <w:rFonts w:ascii="Arial" w:cs="Arial" w:eastAsia="Arial" w:hAnsi="Arial"/>
                <w:sz w:val="10"/>
                <w:szCs w:val="10"/>
                <w:color w:val="auto"/>
              </w:rPr>
              <w:t>86.6%</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720" w:type="dxa"/>
            <w:vAlign w:val="bottom"/>
            <w:tcBorders>
              <w:bottom w:val="single" w:sz="8" w:color="00B2E5"/>
            </w:tcBorders>
            <w:gridSpan w:val="2"/>
          </w:tcPr>
          <w:p>
            <w:pPr>
              <w:spacing w:after="0" w:line="99" w:lineRule="exact"/>
              <w:rPr>
                <w:sz w:val="20"/>
                <w:szCs w:val="20"/>
                <w:color w:val="auto"/>
              </w:rPr>
            </w:pPr>
            <w:r>
              <w:rPr>
                <w:rFonts w:ascii="Arial" w:cs="Arial" w:eastAsia="Arial" w:hAnsi="Arial"/>
                <w:sz w:val="10"/>
                <w:szCs w:val="10"/>
                <w:color w:val="auto"/>
              </w:rPr>
              <w:t>NSR Operating Margin %</w:t>
            </w:r>
          </w:p>
        </w:tc>
        <w:tc>
          <w:tcPr>
            <w:tcW w:w="1080" w:type="dxa"/>
            <w:vAlign w:val="bottom"/>
            <w:tcBorders>
              <w:bottom w:val="single" w:sz="8" w:color="00B2E5"/>
              <w:right w:val="single" w:sz="8" w:color="00B2E5"/>
            </w:tcBorders>
          </w:tcPr>
          <w:p>
            <w:pPr>
              <w:spacing w:after="0"/>
              <w:rPr>
                <w:sz w:val="8"/>
                <w:szCs w:val="8"/>
                <w:color w:val="auto"/>
              </w:rPr>
            </w:pPr>
          </w:p>
        </w:tc>
        <w:tc>
          <w:tcPr>
            <w:tcW w:w="960" w:type="dxa"/>
            <w:vAlign w:val="bottom"/>
            <w:tcBorders>
              <w:bottom w:val="single" w:sz="8" w:color="00B2E5"/>
              <w:right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20%</w:t>
            </w:r>
          </w:p>
        </w:tc>
        <w:tc>
          <w:tcPr>
            <w:tcW w:w="220" w:type="dxa"/>
            <w:vAlign w:val="bottom"/>
            <w:tcBorders>
              <w:bottom w:val="single" w:sz="8" w:color="00B2E5"/>
            </w:tcBorders>
          </w:tcPr>
          <w:p>
            <w:pPr>
              <w:spacing w:after="0"/>
              <w:rPr>
                <w:sz w:val="8"/>
                <w:szCs w:val="8"/>
                <w:color w:val="auto"/>
              </w:rPr>
            </w:pPr>
          </w:p>
        </w:tc>
        <w:tc>
          <w:tcPr>
            <w:tcW w:w="700" w:type="dxa"/>
            <w:vAlign w:val="bottom"/>
            <w:tcBorders>
              <w:bottom w:val="single" w:sz="8" w:color="00B2E5"/>
              <w:right w:val="single" w:sz="8" w:color="00B2E5"/>
            </w:tcBorders>
          </w:tcPr>
          <w:p>
            <w:pPr>
              <w:jc w:val="right"/>
              <w:ind w:right="189"/>
              <w:spacing w:after="0" w:line="99" w:lineRule="exact"/>
              <w:rPr>
                <w:sz w:val="20"/>
                <w:szCs w:val="20"/>
                <w:color w:val="auto"/>
              </w:rPr>
            </w:pPr>
            <w:r>
              <w:rPr>
                <w:rFonts w:ascii="Arial" w:cs="Arial" w:eastAsia="Arial" w:hAnsi="Arial"/>
                <w:sz w:val="10"/>
                <w:szCs w:val="10"/>
                <w:color w:val="auto"/>
              </w:rPr>
              <w:t>10.4%</w:t>
            </w:r>
          </w:p>
        </w:tc>
        <w:tc>
          <w:tcPr>
            <w:tcW w:w="140" w:type="dxa"/>
            <w:vAlign w:val="bottom"/>
            <w:tcBorders>
              <w:bottom w:val="single" w:sz="8" w:color="00B2E5"/>
            </w:tcBorders>
          </w:tcPr>
          <w:p>
            <w:pPr>
              <w:spacing w:after="0"/>
              <w:rPr>
                <w:sz w:val="8"/>
                <w:szCs w:val="8"/>
                <w:color w:val="auto"/>
              </w:rPr>
            </w:pPr>
          </w:p>
        </w:tc>
        <w:tc>
          <w:tcPr>
            <w:tcW w:w="800" w:type="dxa"/>
            <w:vAlign w:val="bottom"/>
            <w:tcBorders>
              <w:bottom w:val="single" w:sz="8" w:color="00B2E5"/>
              <w:right w:val="single" w:sz="8" w:color="00B2E5"/>
            </w:tcBorders>
          </w:tcPr>
          <w:p>
            <w:pPr>
              <w:jc w:val="right"/>
              <w:ind w:right="211"/>
              <w:spacing w:after="0" w:line="99" w:lineRule="exact"/>
              <w:rPr>
                <w:sz w:val="20"/>
                <w:szCs w:val="20"/>
                <w:color w:val="auto"/>
              </w:rPr>
            </w:pPr>
            <w:r>
              <w:rPr>
                <w:rFonts w:ascii="Arial" w:cs="Arial" w:eastAsia="Arial" w:hAnsi="Arial"/>
                <w:sz w:val="10"/>
                <w:szCs w:val="10"/>
                <w:color w:val="auto"/>
              </w:rPr>
              <w:t>11.5%</w:t>
            </w:r>
          </w:p>
        </w:tc>
        <w:tc>
          <w:tcPr>
            <w:tcW w:w="220" w:type="dxa"/>
            <w:vAlign w:val="bottom"/>
            <w:tcBorders>
              <w:bottom w:val="single" w:sz="8" w:color="00B2E5"/>
            </w:tcBorders>
          </w:tcPr>
          <w:p>
            <w:pPr>
              <w:spacing w:after="0"/>
              <w:rPr>
                <w:sz w:val="8"/>
                <w:szCs w:val="8"/>
                <w:color w:val="auto"/>
              </w:rPr>
            </w:pPr>
          </w:p>
        </w:tc>
        <w:tc>
          <w:tcPr>
            <w:tcW w:w="700" w:type="dxa"/>
            <w:vAlign w:val="bottom"/>
            <w:tcBorders>
              <w:bottom w:val="single" w:sz="8" w:color="00B2E5"/>
              <w:right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12.7%</w:t>
            </w:r>
          </w:p>
        </w:tc>
        <w:tc>
          <w:tcPr>
            <w:tcW w:w="100" w:type="dxa"/>
            <w:vAlign w:val="bottom"/>
            <w:tcBorders>
              <w:bottom w:val="single" w:sz="8" w:color="00B2E5"/>
            </w:tcBorders>
          </w:tcPr>
          <w:p>
            <w:pPr>
              <w:spacing w:after="0"/>
              <w:rPr>
                <w:sz w:val="8"/>
                <w:szCs w:val="8"/>
                <w:color w:val="auto"/>
              </w:rPr>
            </w:pPr>
          </w:p>
        </w:tc>
        <w:tc>
          <w:tcPr>
            <w:tcW w:w="780" w:type="dxa"/>
            <w:vAlign w:val="bottom"/>
            <w:tcBorders>
              <w:bottom w:val="single" w:sz="8" w:color="00B2E5"/>
              <w:right w:val="single" w:sz="8" w:color="00B2E5"/>
            </w:tcBorders>
          </w:tcPr>
          <w:p>
            <w:pPr>
              <w:jc w:val="right"/>
              <w:ind w:right="111"/>
              <w:spacing w:after="0" w:line="99" w:lineRule="exact"/>
              <w:rPr>
                <w:sz w:val="20"/>
                <w:szCs w:val="20"/>
                <w:color w:val="auto"/>
              </w:rPr>
            </w:pPr>
            <w:r>
              <w:rPr>
                <w:rFonts w:ascii="Arial" w:cs="Arial" w:eastAsia="Arial" w:hAnsi="Arial"/>
                <w:sz w:val="10"/>
                <w:szCs w:val="10"/>
                <w:color w:val="auto"/>
              </w:rPr>
              <w:t>12.3%</w:t>
            </w:r>
          </w:p>
        </w:tc>
        <w:tc>
          <w:tcPr>
            <w:tcW w:w="1060" w:type="dxa"/>
            <w:vAlign w:val="bottom"/>
            <w:tcBorders>
              <w:bottom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33.3%</w:t>
            </w: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72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Sub-Total</w:t>
            </w:r>
          </w:p>
        </w:tc>
        <w:tc>
          <w:tcPr>
            <w:tcW w:w="1080" w:type="dxa"/>
            <w:vAlign w:val="bottom"/>
            <w:tcBorders>
              <w:right w:val="single" w:sz="8" w:color="00B2E5"/>
            </w:tcBorders>
          </w:tcPr>
          <w:p>
            <w:pPr>
              <w:spacing w:after="0"/>
              <w:rPr>
                <w:sz w:val="8"/>
                <w:szCs w:val="8"/>
                <w:color w:val="auto"/>
              </w:rPr>
            </w:pPr>
          </w:p>
        </w:tc>
        <w:tc>
          <w:tcPr>
            <w:tcW w:w="960" w:type="dxa"/>
            <w:vAlign w:val="bottom"/>
            <w:tcBorders>
              <w:right w:val="single" w:sz="8" w:color="90D1F1"/>
            </w:tcBorders>
            <w:shd w:val="clear" w:color="auto" w:fill="90D1F1"/>
          </w:tcPr>
          <w:p>
            <w:pPr>
              <w:spacing w:after="0"/>
              <w:rPr>
                <w:sz w:val="8"/>
                <w:szCs w:val="8"/>
                <w:color w:val="auto"/>
              </w:rPr>
            </w:pPr>
          </w:p>
        </w:tc>
        <w:tc>
          <w:tcPr>
            <w:tcW w:w="220" w:type="dxa"/>
            <w:vAlign w:val="bottom"/>
            <w:shd w:val="clear" w:color="auto" w:fill="90D1F1"/>
          </w:tcPr>
          <w:p>
            <w:pPr>
              <w:spacing w:after="0"/>
              <w:rPr>
                <w:sz w:val="8"/>
                <w:szCs w:val="8"/>
                <w:color w:val="auto"/>
              </w:rPr>
            </w:pPr>
          </w:p>
        </w:tc>
        <w:tc>
          <w:tcPr>
            <w:tcW w:w="700" w:type="dxa"/>
            <w:vAlign w:val="bottom"/>
            <w:tcBorders>
              <w:right w:val="single" w:sz="8" w:color="90D1F1"/>
            </w:tcBorders>
            <w:shd w:val="clear" w:color="auto" w:fill="90D1F1"/>
          </w:tcPr>
          <w:p>
            <w:pPr>
              <w:spacing w:after="0"/>
              <w:rPr>
                <w:sz w:val="8"/>
                <w:szCs w:val="8"/>
                <w:color w:val="auto"/>
              </w:rPr>
            </w:pPr>
          </w:p>
        </w:tc>
        <w:tc>
          <w:tcPr>
            <w:tcW w:w="140" w:type="dxa"/>
            <w:vAlign w:val="bottom"/>
            <w:shd w:val="clear" w:color="auto" w:fill="90D1F1"/>
          </w:tcPr>
          <w:p>
            <w:pPr>
              <w:spacing w:after="0"/>
              <w:rPr>
                <w:sz w:val="8"/>
                <w:szCs w:val="8"/>
                <w:color w:val="auto"/>
              </w:rPr>
            </w:pPr>
          </w:p>
        </w:tc>
        <w:tc>
          <w:tcPr>
            <w:tcW w:w="800" w:type="dxa"/>
            <w:vAlign w:val="bottom"/>
            <w:tcBorders>
              <w:right w:val="single" w:sz="8" w:color="90D1F1"/>
            </w:tcBorders>
            <w:shd w:val="clear" w:color="auto" w:fill="90D1F1"/>
          </w:tcPr>
          <w:p>
            <w:pPr>
              <w:spacing w:after="0"/>
              <w:rPr>
                <w:sz w:val="8"/>
                <w:szCs w:val="8"/>
                <w:color w:val="auto"/>
              </w:rPr>
            </w:pPr>
          </w:p>
        </w:tc>
        <w:tc>
          <w:tcPr>
            <w:tcW w:w="220" w:type="dxa"/>
            <w:vAlign w:val="bottom"/>
            <w:shd w:val="clear" w:color="auto" w:fill="90D1F1"/>
          </w:tcPr>
          <w:p>
            <w:pPr>
              <w:spacing w:after="0"/>
              <w:rPr>
                <w:sz w:val="8"/>
                <w:szCs w:val="8"/>
                <w:color w:val="auto"/>
              </w:rPr>
            </w:pPr>
          </w:p>
        </w:tc>
        <w:tc>
          <w:tcPr>
            <w:tcW w:w="700" w:type="dxa"/>
            <w:vAlign w:val="bottom"/>
            <w:tcBorders>
              <w:right w:val="single" w:sz="8" w:color="90D1F1"/>
            </w:tcBorders>
            <w:shd w:val="clear" w:color="auto" w:fill="90D1F1"/>
          </w:tcPr>
          <w:p>
            <w:pPr>
              <w:spacing w:after="0"/>
              <w:rPr>
                <w:sz w:val="8"/>
                <w:szCs w:val="8"/>
                <w:color w:val="auto"/>
              </w:rPr>
            </w:pPr>
          </w:p>
        </w:tc>
        <w:tc>
          <w:tcPr>
            <w:tcW w:w="100" w:type="dxa"/>
            <w:vAlign w:val="bottom"/>
            <w:shd w:val="clear" w:color="auto" w:fill="90D1F1"/>
          </w:tcPr>
          <w:p>
            <w:pPr>
              <w:spacing w:after="0"/>
              <w:rPr>
                <w:sz w:val="8"/>
                <w:szCs w:val="8"/>
                <w:color w:val="auto"/>
              </w:rPr>
            </w:pPr>
          </w:p>
        </w:tc>
        <w:tc>
          <w:tcPr>
            <w:tcW w:w="780" w:type="dxa"/>
            <w:vAlign w:val="bottom"/>
            <w:tcBorders>
              <w:right w:val="single" w:sz="8" w:color="00B2E5"/>
            </w:tcBorders>
            <w:shd w:val="clear" w:color="auto" w:fill="90D1F1"/>
          </w:tcPr>
          <w:p>
            <w:pPr>
              <w:spacing w:after="0"/>
              <w:rPr>
                <w:sz w:val="8"/>
                <w:szCs w:val="8"/>
                <w:color w:val="auto"/>
              </w:rPr>
            </w:pPr>
          </w:p>
        </w:tc>
        <w:tc>
          <w:tcPr>
            <w:tcW w:w="1060" w:type="dxa"/>
            <w:vAlign w:val="bottom"/>
          </w:tcPr>
          <w:p>
            <w:pPr>
              <w:jc w:val="right"/>
              <w:ind w:right="191"/>
              <w:spacing w:after="0" w:line="99" w:lineRule="exact"/>
              <w:rPr>
                <w:sz w:val="20"/>
                <w:szCs w:val="20"/>
                <w:color w:val="auto"/>
              </w:rPr>
            </w:pPr>
            <w:r>
              <w:rPr>
                <w:rFonts w:ascii="Arial" w:cs="Arial" w:eastAsia="Arial" w:hAnsi="Arial"/>
                <w:sz w:val="10"/>
                <w:szCs w:val="10"/>
                <w:color w:val="auto"/>
              </w:rPr>
              <w:t>119.9%</w:t>
            </w: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tcBorders>
              <w:top w:val="single" w:sz="8" w:color="00B2E5"/>
              <w:bottom w:val="single" w:sz="8" w:color="00B2E5"/>
            </w:tcBorders>
          </w:tcPr>
          <w:p>
            <w:pPr>
              <w:jc w:val="right"/>
              <w:ind w:right="551"/>
              <w:spacing w:after="0" w:line="99" w:lineRule="exact"/>
              <w:rPr>
                <w:sz w:val="20"/>
                <w:szCs w:val="20"/>
                <w:color w:val="auto"/>
              </w:rPr>
            </w:pPr>
            <w:r>
              <w:rPr>
                <w:rFonts w:ascii="Arial" w:cs="Arial" w:eastAsia="Arial" w:hAnsi="Arial"/>
                <w:sz w:val="10"/>
                <w:szCs w:val="10"/>
                <w:color w:val="auto"/>
              </w:rPr>
              <w:t>x Performance Modifier</w:t>
            </w:r>
          </w:p>
        </w:tc>
        <w:tc>
          <w:tcPr>
            <w:tcW w:w="1080" w:type="dxa"/>
            <w:vAlign w:val="bottom"/>
            <w:tcBorders>
              <w:top w:val="single" w:sz="8" w:color="00B2E5"/>
              <w:bottom w:val="single" w:sz="8" w:color="00B2E5"/>
              <w:right w:val="single" w:sz="8" w:color="00B2E5"/>
            </w:tcBorders>
          </w:tcPr>
          <w:p>
            <w:pPr>
              <w:spacing w:after="0"/>
              <w:rPr>
                <w:sz w:val="8"/>
                <w:szCs w:val="8"/>
                <w:color w:val="auto"/>
              </w:rPr>
            </w:pPr>
          </w:p>
        </w:tc>
        <w:tc>
          <w:tcPr>
            <w:tcW w:w="96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220" w:type="dxa"/>
            <w:vAlign w:val="bottom"/>
            <w:tcBorders>
              <w:top w:val="single" w:sz="8" w:color="00B2E5"/>
              <w:bottom w:val="single" w:sz="8" w:color="00B2E5"/>
            </w:tcBorders>
            <w:shd w:val="clear" w:color="auto" w:fill="90D1F1"/>
          </w:tcPr>
          <w:p>
            <w:pPr>
              <w:spacing w:after="0"/>
              <w:rPr>
                <w:sz w:val="8"/>
                <w:szCs w:val="8"/>
                <w:color w:val="auto"/>
              </w:rPr>
            </w:pPr>
          </w:p>
        </w:tc>
        <w:tc>
          <w:tcPr>
            <w:tcW w:w="70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140" w:type="dxa"/>
            <w:vAlign w:val="bottom"/>
            <w:tcBorders>
              <w:top w:val="single" w:sz="8" w:color="00B2E5"/>
              <w:bottom w:val="single" w:sz="8" w:color="00B2E5"/>
            </w:tcBorders>
            <w:shd w:val="clear" w:color="auto" w:fill="90D1F1"/>
          </w:tcPr>
          <w:p>
            <w:pPr>
              <w:spacing w:after="0"/>
              <w:rPr>
                <w:sz w:val="8"/>
                <w:szCs w:val="8"/>
                <w:color w:val="auto"/>
              </w:rPr>
            </w:pPr>
          </w:p>
        </w:tc>
        <w:tc>
          <w:tcPr>
            <w:tcW w:w="80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220" w:type="dxa"/>
            <w:vAlign w:val="bottom"/>
            <w:tcBorders>
              <w:top w:val="single" w:sz="8" w:color="00B2E5"/>
              <w:bottom w:val="single" w:sz="8" w:color="00B2E5"/>
            </w:tcBorders>
            <w:shd w:val="clear" w:color="auto" w:fill="90D1F1"/>
          </w:tcPr>
          <w:p>
            <w:pPr>
              <w:spacing w:after="0"/>
              <w:rPr>
                <w:sz w:val="8"/>
                <w:szCs w:val="8"/>
                <w:color w:val="auto"/>
              </w:rPr>
            </w:pPr>
          </w:p>
        </w:tc>
        <w:tc>
          <w:tcPr>
            <w:tcW w:w="70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100" w:type="dxa"/>
            <w:vAlign w:val="bottom"/>
            <w:tcBorders>
              <w:top w:val="single" w:sz="8" w:color="00B2E5"/>
              <w:bottom w:val="single" w:sz="8" w:color="00B2E5"/>
            </w:tcBorders>
            <w:shd w:val="clear" w:color="auto" w:fill="90D1F1"/>
          </w:tcPr>
          <w:p>
            <w:pPr>
              <w:spacing w:after="0"/>
              <w:rPr>
                <w:sz w:val="8"/>
                <w:szCs w:val="8"/>
                <w:color w:val="auto"/>
              </w:rPr>
            </w:pPr>
          </w:p>
        </w:tc>
        <w:tc>
          <w:tcPr>
            <w:tcW w:w="780" w:type="dxa"/>
            <w:vAlign w:val="bottom"/>
            <w:tcBorders>
              <w:top w:val="single" w:sz="8" w:color="00B2E5"/>
              <w:bottom w:val="single" w:sz="8" w:color="00B2E5"/>
              <w:right w:val="single" w:sz="8" w:color="00B2E5"/>
            </w:tcBorders>
            <w:shd w:val="clear" w:color="auto" w:fill="90D1F1"/>
          </w:tcPr>
          <w:p>
            <w:pPr>
              <w:spacing w:after="0"/>
              <w:rPr>
                <w:sz w:val="8"/>
                <w:szCs w:val="8"/>
                <w:color w:val="auto"/>
              </w:rPr>
            </w:pPr>
          </w:p>
        </w:tc>
        <w:tc>
          <w:tcPr>
            <w:tcW w:w="1060" w:type="dxa"/>
            <w:vAlign w:val="bottom"/>
            <w:tcBorders>
              <w:top w:val="single" w:sz="8" w:color="00B2E5"/>
              <w:bottom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150.0%</w:t>
            </w: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tcBorders>
              <w:bottom w:val="single" w:sz="8" w:color="00B2E5"/>
            </w:tcBorders>
          </w:tcPr>
          <w:p>
            <w:pPr>
              <w:spacing w:after="0" w:line="99" w:lineRule="exact"/>
              <w:rPr>
                <w:sz w:val="20"/>
                <w:szCs w:val="20"/>
                <w:color w:val="auto"/>
              </w:rPr>
            </w:pPr>
            <w:r>
              <w:rPr>
                <w:rFonts w:ascii="Arial" w:cs="Arial" w:eastAsia="Arial" w:hAnsi="Arial"/>
                <w:sz w:val="10"/>
                <w:szCs w:val="10"/>
                <w:b w:val="1"/>
                <w:bCs w:val="1"/>
                <w:color w:val="auto"/>
              </w:rPr>
              <w:t>Total</w:t>
            </w:r>
          </w:p>
        </w:tc>
        <w:tc>
          <w:tcPr>
            <w:tcW w:w="1080" w:type="dxa"/>
            <w:vAlign w:val="bottom"/>
            <w:tcBorders>
              <w:bottom w:val="single" w:sz="8" w:color="00B2E5"/>
              <w:right w:val="single" w:sz="8" w:color="00B2E5"/>
            </w:tcBorders>
          </w:tcPr>
          <w:p>
            <w:pPr>
              <w:spacing w:after="0"/>
              <w:rPr>
                <w:sz w:val="8"/>
                <w:szCs w:val="8"/>
                <w:color w:val="auto"/>
              </w:rPr>
            </w:pPr>
          </w:p>
        </w:tc>
        <w:tc>
          <w:tcPr>
            <w:tcW w:w="960" w:type="dxa"/>
            <w:vAlign w:val="bottom"/>
            <w:tcBorders>
              <w:bottom w:val="single" w:sz="8" w:color="00B2E5"/>
              <w:right w:val="single" w:sz="8" w:color="90D1F1"/>
            </w:tcBorders>
            <w:shd w:val="clear" w:color="auto" w:fill="90D1F1"/>
          </w:tcPr>
          <w:p>
            <w:pPr>
              <w:spacing w:after="0"/>
              <w:rPr>
                <w:sz w:val="8"/>
                <w:szCs w:val="8"/>
                <w:color w:val="auto"/>
              </w:rPr>
            </w:pPr>
          </w:p>
        </w:tc>
        <w:tc>
          <w:tcPr>
            <w:tcW w:w="220" w:type="dxa"/>
            <w:vAlign w:val="bottom"/>
            <w:tcBorders>
              <w:bottom w:val="single" w:sz="8" w:color="00B2E5"/>
            </w:tcBorders>
            <w:shd w:val="clear" w:color="auto" w:fill="90D1F1"/>
          </w:tcPr>
          <w:p>
            <w:pPr>
              <w:spacing w:after="0"/>
              <w:rPr>
                <w:sz w:val="8"/>
                <w:szCs w:val="8"/>
                <w:color w:val="auto"/>
              </w:rPr>
            </w:pPr>
          </w:p>
        </w:tc>
        <w:tc>
          <w:tcPr>
            <w:tcW w:w="700" w:type="dxa"/>
            <w:vAlign w:val="bottom"/>
            <w:tcBorders>
              <w:bottom w:val="single" w:sz="8" w:color="00B2E5"/>
              <w:right w:val="single" w:sz="8" w:color="90D1F1"/>
            </w:tcBorders>
            <w:shd w:val="clear" w:color="auto" w:fill="90D1F1"/>
          </w:tcPr>
          <w:p>
            <w:pPr>
              <w:spacing w:after="0"/>
              <w:rPr>
                <w:sz w:val="8"/>
                <w:szCs w:val="8"/>
                <w:color w:val="auto"/>
              </w:rPr>
            </w:pPr>
          </w:p>
        </w:tc>
        <w:tc>
          <w:tcPr>
            <w:tcW w:w="140" w:type="dxa"/>
            <w:vAlign w:val="bottom"/>
            <w:tcBorders>
              <w:bottom w:val="single" w:sz="8" w:color="00B2E5"/>
            </w:tcBorders>
            <w:shd w:val="clear" w:color="auto" w:fill="90D1F1"/>
          </w:tcPr>
          <w:p>
            <w:pPr>
              <w:spacing w:after="0"/>
              <w:rPr>
                <w:sz w:val="8"/>
                <w:szCs w:val="8"/>
                <w:color w:val="auto"/>
              </w:rPr>
            </w:pPr>
          </w:p>
        </w:tc>
        <w:tc>
          <w:tcPr>
            <w:tcW w:w="800" w:type="dxa"/>
            <w:vAlign w:val="bottom"/>
            <w:tcBorders>
              <w:bottom w:val="single" w:sz="8" w:color="00B2E5"/>
              <w:right w:val="single" w:sz="8" w:color="90D1F1"/>
            </w:tcBorders>
            <w:shd w:val="clear" w:color="auto" w:fill="90D1F1"/>
          </w:tcPr>
          <w:p>
            <w:pPr>
              <w:spacing w:after="0"/>
              <w:rPr>
                <w:sz w:val="8"/>
                <w:szCs w:val="8"/>
                <w:color w:val="auto"/>
              </w:rPr>
            </w:pPr>
          </w:p>
        </w:tc>
        <w:tc>
          <w:tcPr>
            <w:tcW w:w="220" w:type="dxa"/>
            <w:vAlign w:val="bottom"/>
            <w:tcBorders>
              <w:bottom w:val="single" w:sz="8" w:color="00B2E5"/>
            </w:tcBorders>
            <w:shd w:val="clear" w:color="auto" w:fill="90D1F1"/>
          </w:tcPr>
          <w:p>
            <w:pPr>
              <w:spacing w:after="0"/>
              <w:rPr>
                <w:sz w:val="8"/>
                <w:szCs w:val="8"/>
                <w:color w:val="auto"/>
              </w:rPr>
            </w:pPr>
          </w:p>
        </w:tc>
        <w:tc>
          <w:tcPr>
            <w:tcW w:w="700" w:type="dxa"/>
            <w:vAlign w:val="bottom"/>
            <w:tcBorders>
              <w:bottom w:val="single" w:sz="8" w:color="00B2E5"/>
              <w:right w:val="single" w:sz="8" w:color="90D1F1"/>
            </w:tcBorders>
            <w:shd w:val="clear" w:color="auto" w:fill="90D1F1"/>
          </w:tcPr>
          <w:p>
            <w:pPr>
              <w:spacing w:after="0"/>
              <w:rPr>
                <w:sz w:val="8"/>
                <w:szCs w:val="8"/>
                <w:color w:val="auto"/>
              </w:rPr>
            </w:pPr>
          </w:p>
        </w:tc>
        <w:tc>
          <w:tcPr>
            <w:tcW w:w="100" w:type="dxa"/>
            <w:vAlign w:val="bottom"/>
            <w:tcBorders>
              <w:bottom w:val="single" w:sz="8" w:color="00B2E5"/>
            </w:tcBorders>
            <w:shd w:val="clear" w:color="auto" w:fill="90D1F1"/>
          </w:tcPr>
          <w:p>
            <w:pPr>
              <w:spacing w:after="0"/>
              <w:rPr>
                <w:sz w:val="8"/>
                <w:szCs w:val="8"/>
                <w:color w:val="auto"/>
              </w:rPr>
            </w:pPr>
          </w:p>
        </w:tc>
        <w:tc>
          <w:tcPr>
            <w:tcW w:w="780" w:type="dxa"/>
            <w:vAlign w:val="bottom"/>
            <w:tcBorders>
              <w:bottom w:val="single" w:sz="8" w:color="00B2E5"/>
              <w:right w:val="single" w:sz="8" w:color="00B2E5"/>
            </w:tcBorders>
            <w:shd w:val="clear" w:color="auto" w:fill="90D1F1"/>
          </w:tcPr>
          <w:p>
            <w:pPr>
              <w:spacing w:after="0"/>
              <w:rPr>
                <w:sz w:val="8"/>
                <w:szCs w:val="8"/>
                <w:color w:val="auto"/>
              </w:rPr>
            </w:pPr>
          </w:p>
        </w:tc>
        <w:tc>
          <w:tcPr>
            <w:tcW w:w="1060" w:type="dxa"/>
            <w:vAlign w:val="bottom"/>
            <w:tcBorders>
              <w:bottom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179.9%</w:t>
            </w: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0" w:type="dxa"/>
            <w:vAlign w:val="bottom"/>
          </w:tcPr>
          <w:p>
            <w:pPr>
              <w:jc w:val="right"/>
              <w:ind w:right="124"/>
              <w:spacing w:after="0"/>
              <w:rPr>
                <w:sz w:val="20"/>
                <w:szCs w:val="20"/>
                <w:color w:val="auto"/>
              </w:rPr>
            </w:pPr>
            <w:r>
              <w:rPr>
                <w:rFonts w:ascii="Arial" w:cs="Arial" w:eastAsia="Arial" w:hAnsi="Arial"/>
                <w:sz w:val="7"/>
                <w:szCs w:val="7"/>
                <w:color w:val="auto"/>
                <w:w w:val="71"/>
              </w:rPr>
              <w:t>*</w:t>
            </w:r>
          </w:p>
        </w:tc>
        <w:tc>
          <w:tcPr>
            <w:tcW w:w="2860" w:type="dxa"/>
            <w:vAlign w:val="bottom"/>
            <w:gridSpan w:val="3"/>
          </w:tcPr>
          <w:p>
            <w:pPr>
              <w:jc w:val="right"/>
              <w:ind w:right="551"/>
              <w:spacing w:after="0"/>
              <w:rPr>
                <w:sz w:val="20"/>
                <w:szCs w:val="20"/>
                <w:color w:val="auto"/>
              </w:rPr>
            </w:pPr>
            <w:r>
              <w:rPr>
                <w:rFonts w:ascii="Arial" w:cs="Arial" w:eastAsia="Arial" w:hAnsi="Arial"/>
                <w:sz w:val="10"/>
                <w:szCs w:val="10"/>
                <w:color w:val="auto"/>
              </w:rPr>
              <w:t>See Annex A, Reconciliation of Non-GAAP Items</w:t>
            </w:r>
          </w:p>
        </w:tc>
        <w:tc>
          <w:tcPr>
            <w:tcW w:w="10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269"/>
              <w:spacing w:after="0"/>
              <w:rPr>
                <w:sz w:val="20"/>
                <w:szCs w:val="20"/>
                <w:color w:val="auto"/>
              </w:rPr>
            </w:pPr>
            <w:r>
              <w:rPr>
                <w:rFonts w:ascii="Arial" w:cs="Arial" w:eastAsia="Arial" w:hAnsi="Arial"/>
                <w:sz w:val="12"/>
                <w:szCs w:val="12"/>
                <w:color w:val="auto"/>
              </w:rPr>
              <w:t>51</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70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7167880</wp:posOffset>
            </wp:positionH>
            <wp:positionV relativeFrom="paragraph">
              <wp:posOffset>-11430</wp:posOffset>
            </wp:positionV>
            <wp:extent cx="1270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-11430</wp:posOffset>
            </wp:positionV>
            <wp:extent cx="1270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75" w:name="page76"/>
    <w:bookmarkEnd w:id="75"/>
    <w:p>
      <w:pPr>
        <w:ind w:left="7"/>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ind w:left="7"/>
        <w:spacing w:after="0"/>
        <w:rPr>
          <w:sz w:val="20"/>
          <w:szCs w:val="20"/>
          <w:color w:val="auto"/>
        </w:rPr>
      </w:pPr>
      <w:r>
        <w:rPr>
          <w:rFonts w:ascii="Arial" w:cs="Arial" w:eastAsia="Arial" w:hAnsi="Arial"/>
          <w:sz w:val="12"/>
          <w:szCs w:val="12"/>
          <w:color w:val="auto"/>
        </w:rPr>
        <w:t>Ms. Poloni's bonus was calculated pro-rata based on her time as Chief Executive, EMEA and time as President.</w:t>
      </w:r>
    </w:p>
    <w:p>
      <w:pPr>
        <w:spacing w:after="0" w:line="142"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jc w:val="right"/>
              <w:ind w:right="331"/>
              <w:spacing w:after="0"/>
              <w:rPr>
                <w:sz w:val="20"/>
                <w:szCs w:val="20"/>
                <w:color w:val="auto"/>
              </w:rPr>
            </w:pPr>
            <w:r>
              <w:rPr>
                <w:rFonts w:ascii="Arial" w:cs="Arial" w:eastAsia="Arial" w:hAnsi="Arial"/>
                <w:sz w:val="10"/>
                <w:szCs w:val="10"/>
                <w:b w:val="1"/>
                <w:bCs w:val="1"/>
                <w:color w:val="auto"/>
              </w:rPr>
              <w:t>Weighting</w:t>
            </w:r>
          </w:p>
        </w:tc>
        <w:tc>
          <w:tcPr>
            <w:tcW w:w="140" w:type="dxa"/>
            <w:vAlign w:val="bottom"/>
          </w:tcPr>
          <w:p>
            <w:pPr>
              <w:spacing w:after="0"/>
              <w:rPr>
                <w:sz w:val="10"/>
                <w:szCs w:val="10"/>
                <w:color w:val="auto"/>
              </w:rPr>
            </w:pPr>
          </w:p>
        </w:tc>
        <w:tc>
          <w:tcPr>
            <w:tcW w:w="920" w:type="dxa"/>
            <w:vAlign w:val="bottom"/>
          </w:tcPr>
          <w:p>
            <w:pPr>
              <w:jc w:val="right"/>
              <w:ind w:right="391"/>
              <w:spacing w:after="0"/>
              <w:rPr>
                <w:sz w:val="20"/>
                <w:szCs w:val="20"/>
                <w:color w:val="auto"/>
              </w:rPr>
            </w:pPr>
            <w:r>
              <w:rPr>
                <w:rFonts w:ascii="Arial" w:cs="Arial" w:eastAsia="Arial" w:hAnsi="Arial"/>
                <w:sz w:val="10"/>
                <w:szCs w:val="10"/>
                <w:b w:val="1"/>
                <w:bCs w:val="1"/>
                <w:color w:val="auto"/>
                <w:w w:val="95"/>
              </w:rPr>
              <w:t>Threshold</w:t>
            </w:r>
          </w:p>
        </w:tc>
        <w:tc>
          <w:tcPr>
            <w:tcW w:w="140" w:type="dxa"/>
            <w:vAlign w:val="bottom"/>
          </w:tcPr>
          <w:p>
            <w:pPr>
              <w:spacing w:after="0"/>
              <w:rPr>
                <w:sz w:val="10"/>
                <w:szCs w:val="10"/>
                <w:color w:val="auto"/>
              </w:rPr>
            </w:pPr>
          </w:p>
        </w:tc>
        <w:tc>
          <w:tcPr>
            <w:tcW w:w="900" w:type="dxa"/>
            <w:vAlign w:val="bottom"/>
          </w:tcPr>
          <w:p>
            <w:pPr>
              <w:jc w:val="right"/>
              <w:ind w:right="451"/>
              <w:spacing w:after="0"/>
              <w:rPr>
                <w:sz w:val="20"/>
                <w:szCs w:val="20"/>
                <w:color w:val="auto"/>
              </w:rPr>
            </w:pPr>
            <w:r>
              <w:rPr>
                <w:rFonts w:ascii="Arial" w:cs="Arial" w:eastAsia="Arial" w:hAnsi="Arial"/>
                <w:sz w:val="10"/>
                <w:szCs w:val="10"/>
                <w:b w:val="1"/>
                <w:bCs w:val="1"/>
                <w:color w:val="auto"/>
              </w:rPr>
              <w:t>Target</w:t>
            </w:r>
          </w:p>
        </w:tc>
        <w:tc>
          <w:tcPr>
            <w:tcW w:w="900" w:type="dxa"/>
            <w:vAlign w:val="bottom"/>
            <w:gridSpan w:val="2"/>
          </w:tcPr>
          <w:p>
            <w:pPr>
              <w:jc w:val="right"/>
              <w:ind w:right="311"/>
              <w:spacing w:after="0"/>
              <w:rPr>
                <w:sz w:val="20"/>
                <w:szCs w:val="20"/>
                <w:color w:val="auto"/>
              </w:rPr>
            </w:pPr>
            <w:r>
              <w:rPr>
                <w:rFonts w:ascii="Arial" w:cs="Arial" w:eastAsia="Arial" w:hAnsi="Arial"/>
                <w:sz w:val="10"/>
                <w:szCs w:val="10"/>
                <w:b w:val="1"/>
                <w:bCs w:val="1"/>
                <w:color w:val="auto"/>
              </w:rPr>
              <w:t>Maximum</w:t>
            </w:r>
          </w:p>
        </w:tc>
        <w:tc>
          <w:tcPr>
            <w:tcW w:w="100" w:type="dxa"/>
            <w:vAlign w:val="bottom"/>
          </w:tcPr>
          <w:p>
            <w:pPr>
              <w:spacing w:after="0"/>
              <w:rPr>
                <w:sz w:val="10"/>
                <w:szCs w:val="10"/>
                <w:color w:val="auto"/>
              </w:rPr>
            </w:pPr>
          </w:p>
        </w:tc>
        <w:tc>
          <w:tcPr>
            <w:tcW w:w="760" w:type="dxa"/>
            <w:vAlign w:val="bottom"/>
          </w:tcPr>
          <w:p>
            <w:pPr>
              <w:jc w:val="right"/>
              <w:ind w:right="331"/>
              <w:spacing w:after="0"/>
              <w:rPr>
                <w:sz w:val="20"/>
                <w:szCs w:val="20"/>
                <w:color w:val="auto"/>
              </w:rPr>
            </w:pPr>
            <w:r>
              <w:rPr>
                <w:rFonts w:ascii="Arial" w:cs="Arial" w:eastAsia="Arial" w:hAnsi="Arial"/>
                <w:sz w:val="10"/>
                <w:szCs w:val="10"/>
                <w:b w:val="1"/>
                <w:bCs w:val="1"/>
                <w:color w:val="auto"/>
              </w:rPr>
              <w:t>Actual</w:t>
            </w:r>
          </w:p>
        </w:tc>
        <w:tc>
          <w:tcPr>
            <w:tcW w:w="1020" w:type="dxa"/>
            <w:vAlign w:val="bottom"/>
          </w:tcPr>
          <w:p>
            <w:pPr>
              <w:jc w:val="right"/>
              <w:ind w:right="371"/>
              <w:spacing w:after="0"/>
              <w:rPr>
                <w:sz w:val="20"/>
                <w:szCs w:val="20"/>
                <w:color w:val="auto"/>
              </w:rPr>
            </w:pPr>
            <w:r>
              <w:rPr>
                <w:rFonts w:ascii="Arial" w:cs="Arial" w:eastAsia="Arial" w:hAnsi="Arial"/>
                <w:sz w:val="10"/>
                <w:szCs w:val="10"/>
                <w:b w:val="1"/>
                <w:bCs w:val="1"/>
                <w:color w:val="auto"/>
              </w:rPr>
              <w:t>Earned</w:t>
            </w:r>
          </w:p>
        </w:tc>
        <w:tc>
          <w:tcPr>
            <w:tcW w:w="0" w:type="dxa"/>
            <w:vAlign w:val="bottom"/>
          </w:tcPr>
          <w:p>
            <w:pPr>
              <w:spacing w:after="0"/>
              <w:rPr>
                <w:sz w:val="1"/>
                <w:szCs w:val="1"/>
                <w:color w:val="auto"/>
              </w:rPr>
            </w:pPr>
          </w:p>
        </w:tc>
      </w:tr>
      <w:tr>
        <w:trPr>
          <w:trHeight w:val="118"/>
        </w:trPr>
        <w:tc>
          <w:tcPr>
            <w:tcW w:w="134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Arial" w:cs="Arial" w:eastAsia="Arial" w:hAnsi="Arial"/>
                <w:sz w:val="10"/>
                <w:szCs w:val="10"/>
                <w:b w:val="1"/>
                <w:bCs w:val="1"/>
                <w:color w:val="auto"/>
              </w:rPr>
              <w:t>Lara Poloni</w:t>
            </w:r>
          </w:p>
        </w:tc>
        <w:tc>
          <w:tcPr>
            <w:tcW w:w="940" w:type="dxa"/>
            <w:vAlign w:val="bottom"/>
          </w:tcPr>
          <w:p>
            <w:pPr>
              <w:spacing w:after="0"/>
              <w:rPr>
                <w:sz w:val="10"/>
                <w:szCs w:val="10"/>
                <w:color w:val="auto"/>
              </w:rPr>
            </w:pPr>
          </w:p>
        </w:tc>
        <w:tc>
          <w:tcPr>
            <w:tcW w:w="940" w:type="dxa"/>
            <w:vAlign w:val="bottom"/>
          </w:tcPr>
          <w:p>
            <w:pPr>
              <w:jc w:val="right"/>
              <w:ind w:right="291"/>
              <w:spacing w:after="0"/>
              <w:rPr>
                <w:sz w:val="20"/>
                <w:szCs w:val="20"/>
                <w:color w:val="auto"/>
              </w:rPr>
            </w:pPr>
            <w:r>
              <w:rPr>
                <w:rFonts w:ascii="Arial" w:cs="Arial" w:eastAsia="Arial" w:hAnsi="Arial"/>
                <w:sz w:val="10"/>
                <w:szCs w:val="10"/>
                <w:b w:val="1"/>
                <w:bCs w:val="1"/>
                <w:color w:val="auto"/>
              </w:rPr>
              <w:t>Percentage</w:t>
            </w:r>
          </w:p>
        </w:tc>
        <w:tc>
          <w:tcPr>
            <w:tcW w:w="140" w:type="dxa"/>
            <w:vAlign w:val="bottom"/>
          </w:tcPr>
          <w:p>
            <w:pPr>
              <w:spacing w:after="0"/>
              <w:rPr>
                <w:sz w:val="10"/>
                <w:szCs w:val="10"/>
                <w:color w:val="auto"/>
              </w:rPr>
            </w:pPr>
          </w:p>
        </w:tc>
        <w:tc>
          <w:tcPr>
            <w:tcW w:w="920" w:type="dxa"/>
            <w:vAlign w:val="bottom"/>
          </w:tcPr>
          <w:p>
            <w:pPr>
              <w:jc w:val="right"/>
              <w:ind w:right="371"/>
              <w:spacing w:after="0"/>
              <w:rPr>
                <w:sz w:val="20"/>
                <w:szCs w:val="20"/>
                <w:color w:val="auto"/>
              </w:rPr>
            </w:pPr>
            <w:r>
              <w:rPr>
                <w:rFonts w:ascii="Arial" w:cs="Arial" w:eastAsia="Arial" w:hAnsi="Arial"/>
                <w:sz w:val="10"/>
                <w:szCs w:val="10"/>
                <w:b w:val="1"/>
                <w:bCs w:val="1"/>
                <w:color w:val="auto"/>
                <w:w w:val="95"/>
              </w:rPr>
              <w:t>Amount($)</w:t>
            </w:r>
          </w:p>
        </w:tc>
        <w:tc>
          <w:tcPr>
            <w:tcW w:w="140" w:type="dxa"/>
            <w:vAlign w:val="bottom"/>
          </w:tcPr>
          <w:p>
            <w:pPr>
              <w:spacing w:after="0"/>
              <w:rPr>
                <w:sz w:val="10"/>
                <w:szCs w:val="10"/>
                <w:color w:val="auto"/>
              </w:rPr>
            </w:pPr>
          </w:p>
        </w:tc>
        <w:tc>
          <w:tcPr>
            <w:tcW w:w="900" w:type="dxa"/>
            <w:vAlign w:val="bottom"/>
          </w:tcPr>
          <w:p>
            <w:pPr>
              <w:jc w:val="right"/>
              <w:ind w:right="351"/>
              <w:spacing w:after="0"/>
              <w:rPr>
                <w:sz w:val="20"/>
                <w:szCs w:val="20"/>
                <w:color w:val="auto"/>
              </w:rPr>
            </w:pPr>
            <w:r>
              <w:rPr>
                <w:rFonts w:ascii="Arial" w:cs="Arial" w:eastAsia="Arial" w:hAnsi="Arial"/>
                <w:sz w:val="10"/>
                <w:szCs w:val="10"/>
                <w:b w:val="1"/>
                <w:bCs w:val="1"/>
                <w:color w:val="auto"/>
                <w:w w:val="95"/>
              </w:rPr>
              <w:t>Amount($)</w:t>
            </w:r>
          </w:p>
        </w:tc>
        <w:tc>
          <w:tcPr>
            <w:tcW w:w="900" w:type="dxa"/>
            <w:vAlign w:val="bottom"/>
            <w:gridSpan w:val="2"/>
          </w:tcPr>
          <w:p>
            <w:pPr>
              <w:jc w:val="right"/>
              <w:ind w:right="291"/>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0"/>
                <w:szCs w:val="10"/>
                <w:color w:val="auto"/>
              </w:rPr>
            </w:pPr>
          </w:p>
        </w:tc>
        <w:tc>
          <w:tcPr>
            <w:tcW w:w="760" w:type="dxa"/>
            <w:vAlign w:val="bottom"/>
          </w:tcPr>
          <w:p>
            <w:pPr>
              <w:jc w:val="right"/>
              <w:ind w:right="231"/>
              <w:spacing w:after="0"/>
              <w:rPr>
                <w:sz w:val="20"/>
                <w:szCs w:val="20"/>
                <w:color w:val="auto"/>
              </w:rPr>
            </w:pPr>
            <w:r>
              <w:rPr>
                <w:rFonts w:ascii="Arial" w:cs="Arial" w:eastAsia="Arial" w:hAnsi="Arial"/>
                <w:sz w:val="10"/>
                <w:szCs w:val="10"/>
                <w:b w:val="1"/>
                <w:bCs w:val="1"/>
                <w:color w:val="auto"/>
                <w:w w:val="91"/>
              </w:rPr>
              <w:t>Amount($)</w:t>
            </w:r>
          </w:p>
        </w:tc>
        <w:tc>
          <w:tcPr>
            <w:tcW w:w="1020" w:type="dxa"/>
            <w:vAlign w:val="bottom"/>
          </w:tcPr>
          <w:p>
            <w:pPr>
              <w:jc w:val="right"/>
              <w:ind w:right="271"/>
              <w:spacing w:after="0"/>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109"/>
        </w:trPr>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shd w:val="clear" w:color="auto" w:fill="07B3E7"/>
          </w:tcPr>
          <w:p>
            <w:pPr>
              <w:spacing w:after="0" w:line="110" w:lineRule="exact"/>
              <w:rPr>
                <w:sz w:val="20"/>
                <w:szCs w:val="20"/>
                <w:color w:val="auto"/>
              </w:rPr>
            </w:pPr>
            <w:r>
              <w:rPr>
                <w:rFonts w:ascii="Arial" w:cs="Arial" w:eastAsia="Arial" w:hAnsi="Arial"/>
                <w:sz w:val="10"/>
                <w:szCs w:val="10"/>
                <w:b w:val="1"/>
                <w:bCs w:val="1"/>
                <w:color w:val="FFFFFE"/>
              </w:rPr>
              <w:t>President</w:t>
            </w:r>
          </w:p>
        </w:tc>
        <w:tc>
          <w:tcPr>
            <w:tcW w:w="940" w:type="dxa"/>
            <w:vAlign w:val="bottom"/>
            <w:tcBorders>
              <w:right w:val="single" w:sz="8" w:color="07B3E7"/>
            </w:tcBorders>
            <w:shd w:val="clear" w:color="auto" w:fill="07B3E7"/>
          </w:tcPr>
          <w:p>
            <w:pPr>
              <w:spacing w:after="0"/>
              <w:rPr>
                <w:sz w:val="9"/>
                <w:szCs w:val="9"/>
                <w:color w:val="auto"/>
              </w:rPr>
            </w:pPr>
          </w:p>
        </w:tc>
        <w:tc>
          <w:tcPr>
            <w:tcW w:w="940" w:type="dxa"/>
            <w:vAlign w:val="bottom"/>
            <w:tcBorders>
              <w:right w:val="single" w:sz="8" w:color="07B3E7"/>
            </w:tcBorders>
            <w:shd w:val="clear" w:color="auto" w:fill="07B3E7"/>
          </w:tcPr>
          <w:p>
            <w:pPr>
              <w:spacing w:after="0"/>
              <w:rPr>
                <w:sz w:val="9"/>
                <w:szCs w:val="9"/>
                <w:color w:val="auto"/>
              </w:rPr>
            </w:pPr>
          </w:p>
        </w:tc>
        <w:tc>
          <w:tcPr>
            <w:tcW w:w="140" w:type="dxa"/>
            <w:vAlign w:val="bottom"/>
            <w:shd w:val="clear" w:color="auto" w:fill="07B3E7"/>
          </w:tcPr>
          <w:p>
            <w:pPr>
              <w:spacing w:after="0"/>
              <w:rPr>
                <w:sz w:val="9"/>
                <w:szCs w:val="9"/>
                <w:color w:val="auto"/>
              </w:rPr>
            </w:pPr>
          </w:p>
        </w:tc>
        <w:tc>
          <w:tcPr>
            <w:tcW w:w="920" w:type="dxa"/>
            <w:vAlign w:val="bottom"/>
            <w:tcBorders>
              <w:right w:val="single" w:sz="8" w:color="07B3E7"/>
            </w:tcBorders>
            <w:shd w:val="clear" w:color="auto" w:fill="07B3E7"/>
          </w:tcPr>
          <w:p>
            <w:pPr>
              <w:spacing w:after="0"/>
              <w:rPr>
                <w:sz w:val="9"/>
                <w:szCs w:val="9"/>
                <w:color w:val="auto"/>
              </w:rPr>
            </w:pPr>
          </w:p>
        </w:tc>
        <w:tc>
          <w:tcPr>
            <w:tcW w:w="140" w:type="dxa"/>
            <w:vAlign w:val="bottom"/>
            <w:shd w:val="clear" w:color="auto" w:fill="07B3E7"/>
          </w:tcPr>
          <w:p>
            <w:pPr>
              <w:spacing w:after="0"/>
              <w:rPr>
                <w:sz w:val="9"/>
                <w:szCs w:val="9"/>
                <w:color w:val="auto"/>
              </w:rPr>
            </w:pPr>
          </w:p>
        </w:tc>
        <w:tc>
          <w:tcPr>
            <w:tcW w:w="900" w:type="dxa"/>
            <w:vAlign w:val="bottom"/>
            <w:tcBorders>
              <w:right w:val="single" w:sz="8" w:color="07B3E7"/>
            </w:tcBorders>
            <w:shd w:val="clear" w:color="auto" w:fill="07B3E7"/>
          </w:tcPr>
          <w:p>
            <w:pPr>
              <w:spacing w:after="0"/>
              <w:rPr>
                <w:sz w:val="9"/>
                <w:szCs w:val="9"/>
                <w:color w:val="auto"/>
              </w:rPr>
            </w:pPr>
          </w:p>
        </w:tc>
        <w:tc>
          <w:tcPr>
            <w:tcW w:w="240" w:type="dxa"/>
            <w:vAlign w:val="bottom"/>
            <w:shd w:val="clear" w:color="auto" w:fill="07B3E7"/>
          </w:tcPr>
          <w:p>
            <w:pPr>
              <w:spacing w:after="0"/>
              <w:rPr>
                <w:sz w:val="9"/>
                <w:szCs w:val="9"/>
                <w:color w:val="auto"/>
              </w:rPr>
            </w:pPr>
          </w:p>
        </w:tc>
        <w:tc>
          <w:tcPr>
            <w:tcW w:w="660" w:type="dxa"/>
            <w:vAlign w:val="bottom"/>
            <w:tcBorders>
              <w:right w:val="single" w:sz="8" w:color="07B3E7"/>
            </w:tcBorders>
            <w:shd w:val="clear" w:color="auto" w:fill="07B3E7"/>
          </w:tcPr>
          <w:p>
            <w:pPr>
              <w:spacing w:after="0"/>
              <w:rPr>
                <w:sz w:val="9"/>
                <w:szCs w:val="9"/>
                <w:color w:val="auto"/>
              </w:rPr>
            </w:pPr>
          </w:p>
        </w:tc>
        <w:tc>
          <w:tcPr>
            <w:tcW w:w="100" w:type="dxa"/>
            <w:vAlign w:val="bottom"/>
            <w:shd w:val="clear" w:color="auto" w:fill="07B3E7"/>
          </w:tcPr>
          <w:p>
            <w:pPr>
              <w:spacing w:after="0"/>
              <w:rPr>
                <w:sz w:val="9"/>
                <w:szCs w:val="9"/>
                <w:color w:val="auto"/>
              </w:rPr>
            </w:pPr>
          </w:p>
        </w:tc>
        <w:tc>
          <w:tcPr>
            <w:tcW w:w="760" w:type="dxa"/>
            <w:vAlign w:val="bottom"/>
            <w:tcBorders>
              <w:right w:val="single" w:sz="8" w:color="07B3E7"/>
            </w:tcBorders>
            <w:shd w:val="clear" w:color="auto" w:fill="07B3E7"/>
          </w:tcPr>
          <w:p>
            <w:pPr>
              <w:spacing w:after="0"/>
              <w:rPr>
                <w:sz w:val="9"/>
                <w:szCs w:val="9"/>
                <w:color w:val="auto"/>
              </w:rPr>
            </w:pPr>
          </w:p>
        </w:tc>
        <w:tc>
          <w:tcPr>
            <w:tcW w:w="1020" w:type="dxa"/>
            <w:vAlign w:val="bottom"/>
            <w:shd w:val="clear" w:color="auto" w:fill="07B3E7"/>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1720" w:type="dxa"/>
            <w:vAlign w:val="bottom"/>
            <w:tcBorders>
              <w:bottom w:val="single" w:sz="8" w:color="00B2E5"/>
            </w:tcBorders>
            <w:gridSpan w:val="2"/>
          </w:tcPr>
          <w:p>
            <w:pPr>
              <w:spacing w:after="0"/>
              <w:rPr>
                <w:sz w:val="20"/>
                <w:szCs w:val="20"/>
                <w:color w:val="auto"/>
              </w:rPr>
            </w:pPr>
            <w:r>
              <w:rPr>
                <w:rFonts w:ascii="Arial" w:cs="Arial" w:eastAsia="Arial" w:hAnsi="Arial"/>
                <w:sz w:val="10"/>
                <w:szCs w:val="10"/>
                <w:color w:val="auto"/>
              </w:rPr>
              <w:t>Adjusted EBITDA</w:t>
            </w:r>
          </w:p>
        </w:tc>
        <w:tc>
          <w:tcPr>
            <w:tcW w:w="940" w:type="dxa"/>
            <w:vAlign w:val="bottom"/>
            <w:tcBorders>
              <w:bottom w:val="single" w:sz="8" w:color="00B2E5"/>
              <w:right w:val="single" w:sz="8" w:color="00B2E5"/>
            </w:tcBorders>
          </w:tcPr>
          <w:p>
            <w:pPr>
              <w:spacing w:after="0"/>
              <w:rPr>
                <w:sz w:val="19"/>
                <w:szCs w:val="19"/>
                <w:color w:val="auto"/>
              </w:rPr>
            </w:pPr>
          </w:p>
        </w:tc>
        <w:tc>
          <w:tcPr>
            <w:tcW w:w="940" w:type="dxa"/>
            <w:vAlign w:val="bottom"/>
            <w:tcBorders>
              <w:bottom w:val="single" w:sz="8" w:color="00B2E5"/>
              <w:right w:val="single" w:sz="8" w:color="00B2E5"/>
            </w:tcBorders>
          </w:tcPr>
          <w:p>
            <w:pPr>
              <w:jc w:val="right"/>
              <w:ind w:right="171"/>
              <w:spacing w:after="0"/>
              <w:rPr>
                <w:sz w:val="20"/>
                <w:szCs w:val="20"/>
                <w:color w:val="auto"/>
              </w:rPr>
            </w:pPr>
            <w:r>
              <w:rPr>
                <w:rFonts w:ascii="Arial" w:cs="Arial" w:eastAsia="Arial" w:hAnsi="Arial"/>
                <w:sz w:val="10"/>
                <w:szCs w:val="10"/>
                <w:color w:val="auto"/>
              </w:rPr>
              <w:t>35%</w:t>
            </w:r>
          </w:p>
        </w:tc>
        <w:tc>
          <w:tcPr>
            <w:tcW w:w="140" w:type="dxa"/>
            <w:vAlign w:val="bottom"/>
            <w:tcBorders>
              <w:bottom w:val="single" w:sz="8" w:color="00B2E5"/>
            </w:tcBorders>
          </w:tcPr>
          <w:p>
            <w:pPr>
              <w:ind w:left="4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00B2E5"/>
              <w:right w:val="single" w:sz="8" w:color="00B2E5"/>
            </w:tcBorders>
          </w:tcPr>
          <w:p>
            <w:pPr>
              <w:jc w:val="right"/>
              <w:ind w:right="271"/>
              <w:spacing w:after="0"/>
              <w:rPr>
                <w:sz w:val="20"/>
                <w:szCs w:val="20"/>
                <w:color w:val="auto"/>
              </w:rPr>
            </w:pPr>
            <w:r>
              <w:rPr>
                <w:rFonts w:ascii="Arial" w:cs="Arial" w:eastAsia="Arial" w:hAnsi="Arial"/>
                <w:sz w:val="10"/>
                <w:szCs w:val="10"/>
                <w:color w:val="auto"/>
              </w:rPr>
              <w:t>666.0</w:t>
            </w:r>
          </w:p>
        </w:tc>
        <w:tc>
          <w:tcPr>
            <w:tcW w:w="140" w:type="dxa"/>
            <w:vAlign w:val="bottom"/>
            <w:tcBorders>
              <w:bottom w:val="single" w:sz="8" w:color="00B2E5"/>
            </w:tcBorders>
          </w:tcPr>
          <w:p>
            <w:pPr>
              <w:ind w:left="4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00B2E5"/>
              <w:right w:val="single" w:sz="8" w:color="00B2E5"/>
            </w:tcBorders>
          </w:tcPr>
          <w:p>
            <w:pPr>
              <w:jc w:val="right"/>
              <w:ind w:right="251"/>
              <w:spacing w:after="0"/>
              <w:rPr>
                <w:sz w:val="20"/>
                <w:szCs w:val="20"/>
                <w:color w:val="auto"/>
              </w:rPr>
            </w:pPr>
            <w:r>
              <w:rPr>
                <w:rFonts w:ascii="Arial" w:cs="Arial" w:eastAsia="Arial" w:hAnsi="Arial"/>
                <w:sz w:val="10"/>
                <w:szCs w:val="10"/>
                <w:color w:val="auto"/>
              </w:rPr>
              <w:t>740.0</w:t>
            </w:r>
          </w:p>
        </w:tc>
        <w:tc>
          <w:tcPr>
            <w:tcW w:w="240" w:type="dxa"/>
            <w:vAlign w:val="bottom"/>
            <w:tcBorders>
              <w:bottom w:val="single" w:sz="8" w:color="00B2E5"/>
            </w:tcBorders>
          </w:tcPr>
          <w:p>
            <w:pPr>
              <w:jc w:val="right"/>
              <w:ind w:right="9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00B2E5"/>
              <w:right w:val="single" w:sz="8" w:color="00B2E5"/>
            </w:tcBorders>
          </w:tcPr>
          <w:p>
            <w:pPr>
              <w:jc w:val="right"/>
              <w:ind w:right="251"/>
              <w:spacing w:after="0"/>
              <w:rPr>
                <w:sz w:val="20"/>
                <w:szCs w:val="20"/>
                <w:color w:val="auto"/>
              </w:rPr>
            </w:pPr>
            <w:r>
              <w:rPr>
                <w:rFonts w:ascii="Arial" w:cs="Arial" w:eastAsia="Arial" w:hAnsi="Arial"/>
                <w:sz w:val="10"/>
                <w:szCs w:val="10"/>
                <w:color w:val="auto"/>
              </w:rPr>
              <w:t>814.0</w:t>
            </w:r>
          </w:p>
        </w:tc>
        <w:tc>
          <w:tcPr>
            <w:tcW w:w="100" w:type="dxa"/>
            <w:vAlign w:val="bottom"/>
            <w:tcBorders>
              <w:bottom w:val="single" w:sz="8" w:color="00B2E5"/>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00B2E5"/>
              <w:right w:val="single" w:sz="8" w:color="00B2E5"/>
            </w:tcBorders>
          </w:tcPr>
          <w:p>
            <w:pPr>
              <w:jc w:val="right"/>
              <w:ind w:right="171"/>
              <w:spacing w:after="0"/>
              <w:rPr>
                <w:sz w:val="20"/>
                <w:szCs w:val="20"/>
                <w:color w:val="auto"/>
              </w:rPr>
            </w:pPr>
            <w:r>
              <w:rPr>
                <w:rFonts w:ascii="Arial" w:cs="Arial" w:eastAsia="Arial" w:hAnsi="Arial"/>
                <w:sz w:val="10"/>
                <w:szCs w:val="10"/>
                <w:color w:val="auto"/>
              </w:rPr>
              <w:t>746.1</w:t>
            </w:r>
          </w:p>
        </w:tc>
        <w:tc>
          <w:tcPr>
            <w:tcW w:w="1020" w:type="dxa"/>
            <w:vAlign w:val="bottom"/>
            <w:tcBorders>
              <w:bottom w:val="single" w:sz="8" w:color="00B2E5"/>
            </w:tcBorders>
          </w:tcPr>
          <w:p>
            <w:pPr>
              <w:jc w:val="right"/>
              <w:ind w:right="151"/>
              <w:spacing w:after="0"/>
              <w:rPr>
                <w:sz w:val="20"/>
                <w:szCs w:val="20"/>
                <w:color w:val="auto"/>
              </w:rPr>
            </w:pPr>
            <w:r>
              <w:rPr>
                <w:rFonts w:ascii="Arial" w:cs="Arial" w:eastAsia="Arial" w:hAnsi="Arial"/>
                <w:sz w:val="10"/>
                <w:szCs w:val="10"/>
                <w:color w:val="auto"/>
              </w:rPr>
              <w:t>37.9%</w:t>
            </w:r>
          </w:p>
        </w:tc>
        <w:tc>
          <w:tcPr>
            <w:tcW w:w="0" w:type="dxa"/>
            <w:vAlign w:val="bottom"/>
          </w:tcPr>
          <w:p>
            <w:pPr>
              <w:spacing w:after="0"/>
              <w:rPr>
                <w:sz w:val="1"/>
                <w:szCs w:val="1"/>
                <w:color w:val="auto"/>
              </w:rPr>
            </w:pPr>
          </w:p>
        </w:tc>
      </w:tr>
      <w:tr>
        <w:trPr>
          <w:trHeight w:val="98"/>
        </w:trPr>
        <w:tc>
          <w:tcPr>
            <w:tcW w:w="1340" w:type="dxa"/>
            <w:vAlign w:val="bottom"/>
          </w:tcPr>
          <w:p>
            <w:pPr>
              <w:spacing w:after="0"/>
              <w:rPr>
                <w:sz w:val="8"/>
                <w:szCs w:val="8"/>
                <w:color w:val="auto"/>
              </w:rPr>
            </w:pPr>
          </w:p>
        </w:tc>
        <w:tc>
          <w:tcPr>
            <w:tcW w:w="1720" w:type="dxa"/>
            <w:vAlign w:val="bottom"/>
            <w:tcBorders>
              <w:bottom w:val="single" w:sz="8" w:color="00B2E5"/>
            </w:tcBorders>
            <w:gridSpan w:val="2"/>
          </w:tcPr>
          <w:p>
            <w:pPr>
              <w:spacing w:after="0" w:line="99" w:lineRule="exact"/>
              <w:rPr>
                <w:sz w:val="20"/>
                <w:szCs w:val="20"/>
                <w:color w:val="auto"/>
              </w:rPr>
            </w:pPr>
            <w:r>
              <w:rPr>
                <w:rFonts w:ascii="Arial" w:cs="Arial" w:eastAsia="Arial" w:hAnsi="Arial"/>
                <w:sz w:val="10"/>
                <w:szCs w:val="10"/>
                <w:color w:val="auto"/>
              </w:rPr>
              <w:t>NSR Operating Margin %</w:t>
            </w:r>
          </w:p>
        </w:tc>
        <w:tc>
          <w:tcPr>
            <w:tcW w:w="940" w:type="dxa"/>
            <w:vAlign w:val="bottom"/>
            <w:tcBorders>
              <w:bottom w:val="single" w:sz="8" w:color="00B2E5"/>
              <w:right w:val="single" w:sz="8" w:color="00B2E5"/>
            </w:tcBorders>
          </w:tcPr>
          <w:p>
            <w:pPr>
              <w:spacing w:after="0"/>
              <w:rPr>
                <w:sz w:val="8"/>
                <w:szCs w:val="8"/>
                <w:color w:val="auto"/>
              </w:rPr>
            </w:pPr>
          </w:p>
        </w:tc>
        <w:tc>
          <w:tcPr>
            <w:tcW w:w="940" w:type="dxa"/>
            <w:vAlign w:val="bottom"/>
            <w:tcBorders>
              <w:bottom w:val="single" w:sz="8" w:color="00B2E5"/>
              <w:right w:val="single" w:sz="8" w:color="00B2E5"/>
            </w:tcBorders>
          </w:tcPr>
          <w:p>
            <w:pPr>
              <w:jc w:val="right"/>
              <w:ind w:right="171"/>
              <w:spacing w:after="0" w:line="99" w:lineRule="exact"/>
              <w:rPr>
                <w:sz w:val="20"/>
                <w:szCs w:val="20"/>
                <w:color w:val="auto"/>
              </w:rPr>
            </w:pPr>
            <w:r>
              <w:rPr>
                <w:rFonts w:ascii="Arial" w:cs="Arial" w:eastAsia="Arial" w:hAnsi="Arial"/>
                <w:sz w:val="10"/>
                <w:szCs w:val="10"/>
                <w:color w:val="auto"/>
              </w:rPr>
              <w:t>35%</w:t>
            </w:r>
          </w:p>
        </w:tc>
        <w:tc>
          <w:tcPr>
            <w:tcW w:w="140" w:type="dxa"/>
            <w:vAlign w:val="bottom"/>
            <w:tcBorders>
              <w:bottom w:val="single" w:sz="8" w:color="00B2E5"/>
            </w:tcBorders>
          </w:tcPr>
          <w:p>
            <w:pPr>
              <w:spacing w:after="0"/>
              <w:rPr>
                <w:sz w:val="8"/>
                <w:szCs w:val="8"/>
                <w:color w:val="auto"/>
              </w:rPr>
            </w:pPr>
          </w:p>
        </w:tc>
        <w:tc>
          <w:tcPr>
            <w:tcW w:w="920" w:type="dxa"/>
            <w:vAlign w:val="bottom"/>
            <w:tcBorders>
              <w:bottom w:val="single" w:sz="8" w:color="00B2E5"/>
              <w:right w:val="single" w:sz="8" w:color="00B2E5"/>
            </w:tcBorders>
          </w:tcPr>
          <w:p>
            <w:pPr>
              <w:jc w:val="right"/>
              <w:ind w:right="171"/>
              <w:spacing w:after="0" w:line="99" w:lineRule="exact"/>
              <w:rPr>
                <w:sz w:val="20"/>
                <w:szCs w:val="20"/>
                <w:color w:val="auto"/>
              </w:rPr>
            </w:pPr>
            <w:r>
              <w:rPr>
                <w:rFonts w:ascii="Arial" w:cs="Arial" w:eastAsia="Arial" w:hAnsi="Arial"/>
                <w:sz w:val="10"/>
                <w:szCs w:val="10"/>
                <w:color w:val="auto"/>
              </w:rPr>
              <w:t>10.4%</w:t>
            </w:r>
          </w:p>
        </w:tc>
        <w:tc>
          <w:tcPr>
            <w:tcW w:w="140" w:type="dxa"/>
            <w:vAlign w:val="bottom"/>
            <w:tcBorders>
              <w:bottom w:val="single" w:sz="8" w:color="00B2E5"/>
            </w:tcBorders>
          </w:tcPr>
          <w:p>
            <w:pPr>
              <w:spacing w:after="0"/>
              <w:rPr>
                <w:sz w:val="8"/>
                <w:szCs w:val="8"/>
                <w:color w:val="auto"/>
              </w:rPr>
            </w:pPr>
          </w:p>
        </w:tc>
        <w:tc>
          <w:tcPr>
            <w:tcW w:w="900" w:type="dxa"/>
            <w:vAlign w:val="bottom"/>
            <w:tcBorders>
              <w:bottom w:val="single" w:sz="8" w:color="00B2E5"/>
              <w:right w:val="single" w:sz="8" w:color="00B2E5"/>
            </w:tcBorders>
          </w:tcPr>
          <w:p>
            <w:pPr>
              <w:jc w:val="right"/>
              <w:ind w:right="151"/>
              <w:spacing w:after="0" w:line="99" w:lineRule="exact"/>
              <w:rPr>
                <w:sz w:val="20"/>
                <w:szCs w:val="20"/>
                <w:color w:val="auto"/>
              </w:rPr>
            </w:pPr>
            <w:r>
              <w:rPr>
                <w:rFonts w:ascii="Arial" w:cs="Arial" w:eastAsia="Arial" w:hAnsi="Arial"/>
                <w:sz w:val="10"/>
                <w:szCs w:val="10"/>
                <w:color w:val="auto"/>
              </w:rPr>
              <w:t>11.5%</w:t>
            </w:r>
          </w:p>
        </w:tc>
        <w:tc>
          <w:tcPr>
            <w:tcW w:w="240" w:type="dxa"/>
            <w:vAlign w:val="bottom"/>
            <w:tcBorders>
              <w:bottom w:val="single" w:sz="8" w:color="00B2E5"/>
            </w:tcBorders>
          </w:tcPr>
          <w:p>
            <w:pPr>
              <w:spacing w:after="0"/>
              <w:rPr>
                <w:sz w:val="8"/>
                <w:szCs w:val="8"/>
                <w:color w:val="auto"/>
              </w:rPr>
            </w:pPr>
          </w:p>
        </w:tc>
        <w:tc>
          <w:tcPr>
            <w:tcW w:w="660" w:type="dxa"/>
            <w:vAlign w:val="bottom"/>
            <w:tcBorders>
              <w:bottom w:val="single" w:sz="8" w:color="00B2E5"/>
              <w:right w:val="single" w:sz="8" w:color="00B2E5"/>
            </w:tcBorders>
          </w:tcPr>
          <w:p>
            <w:pPr>
              <w:jc w:val="right"/>
              <w:ind w:right="171"/>
              <w:spacing w:after="0" w:line="99" w:lineRule="exact"/>
              <w:rPr>
                <w:sz w:val="20"/>
                <w:szCs w:val="20"/>
                <w:color w:val="auto"/>
              </w:rPr>
            </w:pPr>
            <w:r>
              <w:rPr>
                <w:rFonts w:ascii="Arial" w:cs="Arial" w:eastAsia="Arial" w:hAnsi="Arial"/>
                <w:sz w:val="10"/>
                <w:szCs w:val="10"/>
                <w:color w:val="auto"/>
              </w:rPr>
              <w:t>12.7%</w:t>
            </w:r>
          </w:p>
        </w:tc>
        <w:tc>
          <w:tcPr>
            <w:tcW w:w="100" w:type="dxa"/>
            <w:vAlign w:val="bottom"/>
            <w:tcBorders>
              <w:bottom w:val="single" w:sz="8" w:color="00B2E5"/>
            </w:tcBorders>
          </w:tcPr>
          <w:p>
            <w:pPr>
              <w:spacing w:after="0"/>
              <w:rPr>
                <w:sz w:val="8"/>
                <w:szCs w:val="8"/>
                <w:color w:val="auto"/>
              </w:rPr>
            </w:pPr>
          </w:p>
        </w:tc>
        <w:tc>
          <w:tcPr>
            <w:tcW w:w="760" w:type="dxa"/>
            <w:vAlign w:val="bottom"/>
            <w:tcBorders>
              <w:bottom w:val="single" w:sz="8" w:color="00B2E5"/>
              <w:right w:val="single" w:sz="8" w:color="00B2E5"/>
            </w:tcBorders>
          </w:tcPr>
          <w:p>
            <w:pPr>
              <w:jc w:val="right"/>
              <w:ind w:right="91"/>
              <w:spacing w:after="0" w:line="99" w:lineRule="exact"/>
              <w:rPr>
                <w:sz w:val="20"/>
                <w:szCs w:val="20"/>
                <w:color w:val="auto"/>
              </w:rPr>
            </w:pPr>
            <w:r>
              <w:rPr>
                <w:rFonts w:ascii="Arial" w:cs="Arial" w:eastAsia="Arial" w:hAnsi="Arial"/>
                <w:sz w:val="10"/>
                <w:szCs w:val="10"/>
                <w:color w:val="auto"/>
              </w:rPr>
              <w:t>12.3%</w:t>
            </w:r>
          </w:p>
        </w:tc>
        <w:tc>
          <w:tcPr>
            <w:tcW w:w="1020" w:type="dxa"/>
            <w:vAlign w:val="bottom"/>
            <w:tcBorders>
              <w:bottom w:val="single" w:sz="8" w:color="00B2E5"/>
            </w:tcBorders>
          </w:tcPr>
          <w:p>
            <w:pPr>
              <w:jc w:val="right"/>
              <w:ind w:right="151"/>
              <w:spacing w:after="0" w:line="99" w:lineRule="exact"/>
              <w:rPr>
                <w:sz w:val="20"/>
                <w:szCs w:val="20"/>
                <w:color w:val="auto"/>
              </w:rPr>
            </w:pPr>
            <w:r>
              <w:rPr>
                <w:rFonts w:ascii="Arial" w:cs="Arial" w:eastAsia="Arial" w:hAnsi="Arial"/>
                <w:sz w:val="10"/>
                <w:szCs w:val="10"/>
                <w:color w:val="auto"/>
              </w:rPr>
              <w:t>58.3%</w:t>
            </w:r>
          </w:p>
        </w:tc>
        <w:tc>
          <w:tcPr>
            <w:tcW w:w="0" w:type="dxa"/>
            <w:vAlign w:val="bottom"/>
          </w:tcPr>
          <w:p>
            <w:pPr>
              <w:spacing w:after="0"/>
              <w:rPr>
                <w:sz w:val="1"/>
                <w:szCs w:val="1"/>
                <w:color w:val="auto"/>
              </w:rPr>
            </w:pPr>
          </w:p>
        </w:tc>
      </w:tr>
      <w:tr>
        <w:trPr>
          <w:trHeight w:val="98"/>
        </w:trPr>
        <w:tc>
          <w:tcPr>
            <w:tcW w:w="1340" w:type="dxa"/>
            <w:vAlign w:val="bottom"/>
          </w:tcPr>
          <w:p>
            <w:pPr>
              <w:spacing w:after="0"/>
              <w:rPr>
                <w:sz w:val="8"/>
                <w:szCs w:val="8"/>
                <w:color w:val="auto"/>
              </w:rPr>
            </w:pPr>
          </w:p>
        </w:tc>
        <w:tc>
          <w:tcPr>
            <w:tcW w:w="1720" w:type="dxa"/>
            <w:vAlign w:val="bottom"/>
            <w:gridSpan w:val="2"/>
          </w:tcPr>
          <w:p>
            <w:pPr>
              <w:spacing w:after="0" w:line="99" w:lineRule="exact"/>
              <w:rPr>
                <w:sz w:val="20"/>
                <w:szCs w:val="20"/>
                <w:color w:val="auto"/>
              </w:rPr>
            </w:pPr>
            <w:r>
              <w:rPr>
                <w:rFonts w:ascii="Arial" w:cs="Arial" w:eastAsia="Arial" w:hAnsi="Arial"/>
                <w:sz w:val="10"/>
                <w:szCs w:val="10"/>
                <w:color w:val="auto"/>
              </w:rPr>
              <w:t>KPIs</w:t>
            </w:r>
          </w:p>
        </w:tc>
        <w:tc>
          <w:tcPr>
            <w:tcW w:w="940" w:type="dxa"/>
            <w:vAlign w:val="bottom"/>
            <w:tcBorders>
              <w:right w:val="single" w:sz="8" w:color="00B2E5"/>
            </w:tcBorders>
          </w:tcPr>
          <w:p>
            <w:pPr>
              <w:spacing w:after="0"/>
              <w:rPr>
                <w:sz w:val="8"/>
                <w:szCs w:val="8"/>
                <w:color w:val="auto"/>
              </w:rPr>
            </w:pPr>
          </w:p>
        </w:tc>
        <w:tc>
          <w:tcPr>
            <w:tcW w:w="940" w:type="dxa"/>
            <w:vAlign w:val="bottom"/>
            <w:tcBorders>
              <w:right w:val="single" w:sz="8" w:color="00B2E5"/>
            </w:tcBorders>
          </w:tcPr>
          <w:p>
            <w:pPr>
              <w:jc w:val="right"/>
              <w:ind w:right="171"/>
              <w:spacing w:after="0" w:line="99" w:lineRule="exact"/>
              <w:rPr>
                <w:sz w:val="20"/>
                <w:szCs w:val="20"/>
                <w:color w:val="auto"/>
              </w:rPr>
            </w:pPr>
            <w:r>
              <w:rPr>
                <w:rFonts w:ascii="Arial" w:cs="Arial" w:eastAsia="Arial" w:hAnsi="Arial"/>
                <w:sz w:val="10"/>
                <w:szCs w:val="10"/>
                <w:color w:val="auto"/>
              </w:rPr>
              <w:t>30%</w:t>
            </w:r>
          </w:p>
        </w:tc>
        <w:tc>
          <w:tcPr>
            <w:tcW w:w="140" w:type="dxa"/>
            <w:vAlign w:val="bottom"/>
            <w:shd w:val="clear" w:color="auto" w:fill="90D1F1"/>
          </w:tcPr>
          <w:p>
            <w:pPr>
              <w:spacing w:after="0"/>
              <w:rPr>
                <w:sz w:val="8"/>
                <w:szCs w:val="8"/>
                <w:color w:val="auto"/>
              </w:rPr>
            </w:pPr>
          </w:p>
        </w:tc>
        <w:tc>
          <w:tcPr>
            <w:tcW w:w="920" w:type="dxa"/>
            <w:vAlign w:val="bottom"/>
            <w:tcBorders>
              <w:right w:val="single" w:sz="8" w:color="90D1F1"/>
            </w:tcBorders>
            <w:shd w:val="clear" w:color="auto" w:fill="90D1F1"/>
          </w:tcPr>
          <w:p>
            <w:pPr>
              <w:spacing w:after="0"/>
              <w:rPr>
                <w:sz w:val="8"/>
                <w:szCs w:val="8"/>
                <w:color w:val="auto"/>
              </w:rPr>
            </w:pPr>
          </w:p>
        </w:tc>
        <w:tc>
          <w:tcPr>
            <w:tcW w:w="140" w:type="dxa"/>
            <w:vAlign w:val="bottom"/>
            <w:shd w:val="clear" w:color="auto" w:fill="90D1F1"/>
          </w:tcPr>
          <w:p>
            <w:pPr>
              <w:spacing w:after="0"/>
              <w:rPr>
                <w:sz w:val="8"/>
                <w:szCs w:val="8"/>
                <w:color w:val="auto"/>
              </w:rPr>
            </w:pPr>
          </w:p>
        </w:tc>
        <w:tc>
          <w:tcPr>
            <w:tcW w:w="900" w:type="dxa"/>
            <w:vAlign w:val="bottom"/>
            <w:tcBorders>
              <w:right w:val="single" w:sz="8" w:color="90D1F1"/>
            </w:tcBorders>
            <w:shd w:val="clear" w:color="auto" w:fill="90D1F1"/>
          </w:tcPr>
          <w:p>
            <w:pPr>
              <w:spacing w:after="0"/>
              <w:rPr>
                <w:sz w:val="8"/>
                <w:szCs w:val="8"/>
                <w:color w:val="auto"/>
              </w:rPr>
            </w:pPr>
          </w:p>
        </w:tc>
        <w:tc>
          <w:tcPr>
            <w:tcW w:w="240" w:type="dxa"/>
            <w:vAlign w:val="bottom"/>
            <w:shd w:val="clear" w:color="auto" w:fill="90D1F1"/>
          </w:tcPr>
          <w:p>
            <w:pPr>
              <w:spacing w:after="0"/>
              <w:rPr>
                <w:sz w:val="8"/>
                <w:szCs w:val="8"/>
                <w:color w:val="auto"/>
              </w:rPr>
            </w:pPr>
          </w:p>
        </w:tc>
        <w:tc>
          <w:tcPr>
            <w:tcW w:w="660" w:type="dxa"/>
            <w:vAlign w:val="bottom"/>
            <w:tcBorders>
              <w:right w:val="single" w:sz="8" w:color="90D1F1"/>
            </w:tcBorders>
            <w:shd w:val="clear" w:color="auto" w:fill="90D1F1"/>
          </w:tcPr>
          <w:p>
            <w:pPr>
              <w:spacing w:after="0"/>
              <w:rPr>
                <w:sz w:val="8"/>
                <w:szCs w:val="8"/>
                <w:color w:val="auto"/>
              </w:rPr>
            </w:pPr>
          </w:p>
        </w:tc>
        <w:tc>
          <w:tcPr>
            <w:tcW w:w="100" w:type="dxa"/>
            <w:vAlign w:val="bottom"/>
            <w:shd w:val="clear" w:color="auto" w:fill="90D1F1"/>
          </w:tcPr>
          <w:p>
            <w:pPr>
              <w:spacing w:after="0"/>
              <w:rPr>
                <w:sz w:val="8"/>
                <w:szCs w:val="8"/>
                <w:color w:val="auto"/>
              </w:rPr>
            </w:pPr>
          </w:p>
        </w:tc>
        <w:tc>
          <w:tcPr>
            <w:tcW w:w="760" w:type="dxa"/>
            <w:vAlign w:val="bottom"/>
            <w:tcBorders>
              <w:right w:val="single" w:sz="8" w:color="00B2E5"/>
            </w:tcBorders>
            <w:shd w:val="clear" w:color="auto" w:fill="90D1F1"/>
          </w:tcPr>
          <w:p>
            <w:pPr>
              <w:spacing w:after="0"/>
              <w:rPr>
                <w:sz w:val="8"/>
                <w:szCs w:val="8"/>
                <w:color w:val="auto"/>
              </w:rPr>
            </w:pPr>
          </w:p>
        </w:tc>
        <w:tc>
          <w:tcPr>
            <w:tcW w:w="1020" w:type="dxa"/>
            <w:vAlign w:val="bottom"/>
          </w:tcPr>
          <w:p>
            <w:pPr>
              <w:jc w:val="right"/>
              <w:ind w:right="151"/>
              <w:spacing w:after="0" w:line="99" w:lineRule="exact"/>
              <w:rPr>
                <w:sz w:val="20"/>
                <w:szCs w:val="20"/>
                <w:color w:val="auto"/>
              </w:rPr>
            </w:pPr>
            <w:r>
              <w:rPr>
                <w:rFonts w:ascii="Arial" w:cs="Arial" w:eastAsia="Arial" w:hAnsi="Arial"/>
                <w:sz w:val="10"/>
                <w:szCs w:val="10"/>
                <w:color w:val="auto"/>
              </w:rPr>
              <w:t>45.0%</w:t>
            </w:r>
          </w:p>
        </w:tc>
        <w:tc>
          <w:tcPr>
            <w:tcW w:w="0" w:type="dxa"/>
            <w:vAlign w:val="bottom"/>
          </w:tcPr>
          <w:p>
            <w:pPr>
              <w:spacing w:after="0"/>
              <w:rPr>
                <w:sz w:val="1"/>
                <w:szCs w:val="1"/>
                <w:color w:val="auto"/>
              </w:rPr>
            </w:pPr>
          </w:p>
        </w:tc>
      </w:tr>
      <w:tr>
        <w:trPr>
          <w:trHeight w:val="98"/>
        </w:trPr>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tcBorders>
              <w:top w:val="single" w:sz="8" w:color="00B2E5"/>
              <w:bottom w:val="single" w:sz="8" w:color="00B2E5"/>
            </w:tcBorders>
          </w:tcPr>
          <w:p>
            <w:pPr>
              <w:spacing w:after="0" w:line="99" w:lineRule="exact"/>
              <w:rPr>
                <w:sz w:val="20"/>
                <w:szCs w:val="20"/>
                <w:color w:val="auto"/>
              </w:rPr>
            </w:pPr>
            <w:r>
              <w:rPr>
                <w:rFonts w:ascii="Arial" w:cs="Arial" w:eastAsia="Arial" w:hAnsi="Arial"/>
                <w:sz w:val="10"/>
                <w:szCs w:val="10"/>
                <w:b w:val="1"/>
                <w:bCs w:val="1"/>
                <w:color w:val="auto"/>
              </w:rPr>
              <w:t>Total</w:t>
            </w:r>
          </w:p>
        </w:tc>
        <w:tc>
          <w:tcPr>
            <w:tcW w:w="940" w:type="dxa"/>
            <w:vAlign w:val="bottom"/>
            <w:tcBorders>
              <w:top w:val="single" w:sz="8" w:color="00B2E5"/>
              <w:bottom w:val="single" w:sz="8" w:color="00B2E5"/>
              <w:right w:val="single" w:sz="8" w:color="00B2E5"/>
            </w:tcBorders>
          </w:tcPr>
          <w:p>
            <w:pPr>
              <w:spacing w:after="0"/>
              <w:rPr>
                <w:sz w:val="8"/>
                <w:szCs w:val="8"/>
                <w:color w:val="auto"/>
              </w:rPr>
            </w:pPr>
          </w:p>
        </w:tc>
        <w:tc>
          <w:tcPr>
            <w:tcW w:w="94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140" w:type="dxa"/>
            <w:vAlign w:val="bottom"/>
            <w:tcBorders>
              <w:top w:val="single" w:sz="8" w:color="00B2E5"/>
              <w:bottom w:val="single" w:sz="8" w:color="00B2E5"/>
            </w:tcBorders>
            <w:shd w:val="clear" w:color="auto" w:fill="90D1F1"/>
          </w:tcPr>
          <w:p>
            <w:pPr>
              <w:spacing w:after="0"/>
              <w:rPr>
                <w:sz w:val="8"/>
                <w:szCs w:val="8"/>
                <w:color w:val="auto"/>
              </w:rPr>
            </w:pPr>
          </w:p>
        </w:tc>
        <w:tc>
          <w:tcPr>
            <w:tcW w:w="92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140" w:type="dxa"/>
            <w:vAlign w:val="bottom"/>
            <w:tcBorders>
              <w:top w:val="single" w:sz="8" w:color="00B2E5"/>
              <w:bottom w:val="single" w:sz="8" w:color="00B2E5"/>
            </w:tcBorders>
            <w:shd w:val="clear" w:color="auto" w:fill="90D1F1"/>
          </w:tcPr>
          <w:p>
            <w:pPr>
              <w:spacing w:after="0"/>
              <w:rPr>
                <w:sz w:val="8"/>
                <w:szCs w:val="8"/>
                <w:color w:val="auto"/>
              </w:rPr>
            </w:pPr>
          </w:p>
        </w:tc>
        <w:tc>
          <w:tcPr>
            <w:tcW w:w="90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240" w:type="dxa"/>
            <w:vAlign w:val="bottom"/>
            <w:tcBorders>
              <w:top w:val="single" w:sz="8" w:color="00B2E5"/>
              <w:bottom w:val="single" w:sz="8" w:color="00B2E5"/>
            </w:tcBorders>
            <w:shd w:val="clear" w:color="auto" w:fill="90D1F1"/>
          </w:tcPr>
          <w:p>
            <w:pPr>
              <w:spacing w:after="0"/>
              <w:rPr>
                <w:sz w:val="8"/>
                <w:szCs w:val="8"/>
                <w:color w:val="auto"/>
              </w:rPr>
            </w:pPr>
          </w:p>
        </w:tc>
        <w:tc>
          <w:tcPr>
            <w:tcW w:w="66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100" w:type="dxa"/>
            <w:vAlign w:val="bottom"/>
            <w:tcBorders>
              <w:top w:val="single" w:sz="8" w:color="00B2E5"/>
              <w:bottom w:val="single" w:sz="8" w:color="00B2E5"/>
            </w:tcBorders>
            <w:shd w:val="clear" w:color="auto" w:fill="90D1F1"/>
          </w:tcPr>
          <w:p>
            <w:pPr>
              <w:spacing w:after="0"/>
              <w:rPr>
                <w:sz w:val="8"/>
                <w:szCs w:val="8"/>
                <w:color w:val="auto"/>
              </w:rPr>
            </w:pPr>
          </w:p>
        </w:tc>
        <w:tc>
          <w:tcPr>
            <w:tcW w:w="760" w:type="dxa"/>
            <w:vAlign w:val="bottom"/>
            <w:tcBorders>
              <w:top w:val="single" w:sz="8" w:color="00B2E5"/>
              <w:bottom w:val="single" w:sz="8" w:color="00B2E5"/>
              <w:right w:val="single" w:sz="8" w:color="00B2E5"/>
            </w:tcBorders>
            <w:shd w:val="clear" w:color="auto" w:fill="90D1F1"/>
          </w:tcPr>
          <w:p>
            <w:pPr>
              <w:spacing w:after="0"/>
              <w:rPr>
                <w:sz w:val="8"/>
                <w:szCs w:val="8"/>
                <w:color w:val="auto"/>
              </w:rPr>
            </w:pPr>
          </w:p>
        </w:tc>
        <w:tc>
          <w:tcPr>
            <w:tcW w:w="1020" w:type="dxa"/>
            <w:vAlign w:val="bottom"/>
            <w:tcBorders>
              <w:top w:val="single" w:sz="8" w:color="00B2E5"/>
              <w:bottom w:val="single" w:sz="8" w:color="00B2E5"/>
            </w:tcBorders>
          </w:tcPr>
          <w:p>
            <w:pPr>
              <w:jc w:val="right"/>
              <w:ind w:right="151"/>
              <w:spacing w:after="0" w:line="99" w:lineRule="exact"/>
              <w:rPr>
                <w:sz w:val="20"/>
                <w:szCs w:val="20"/>
                <w:color w:val="auto"/>
              </w:rPr>
            </w:pPr>
            <w:r>
              <w:rPr>
                <w:rFonts w:ascii="Arial" w:cs="Arial" w:eastAsia="Arial" w:hAnsi="Arial"/>
                <w:sz w:val="10"/>
                <w:szCs w:val="10"/>
                <w:color w:val="auto"/>
              </w:rPr>
              <w:t>141.2%</w:t>
            </w:r>
          </w:p>
        </w:tc>
        <w:tc>
          <w:tcPr>
            <w:tcW w:w="0" w:type="dxa"/>
            <w:vAlign w:val="bottom"/>
          </w:tcPr>
          <w:p>
            <w:pPr>
              <w:spacing w:after="0"/>
              <w:rPr>
                <w:sz w:val="1"/>
                <w:szCs w:val="1"/>
                <w:color w:val="auto"/>
              </w:rPr>
            </w:pPr>
          </w:p>
        </w:tc>
      </w:tr>
      <w:tr>
        <w:trPr>
          <w:trHeight w:val="208"/>
        </w:trPr>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1700" w:type="dxa"/>
            <w:vAlign w:val="bottom"/>
            <w:shd w:val="clear" w:color="auto" w:fill="07B3E7"/>
          </w:tcPr>
          <w:p>
            <w:pPr>
              <w:spacing w:after="0" w:line="110" w:lineRule="exact"/>
              <w:rPr>
                <w:sz w:val="20"/>
                <w:szCs w:val="20"/>
                <w:color w:val="auto"/>
              </w:rPr>
            </w:pPr>
            <w:r>
              <w:rPr>
                <w:rFonts w:ascii="Arial" w:cs="Arial" w:eastAsia="Arial" w:hAnsi="Arial"/>
                <w:sz w:val="10"/>
                <w:szCs w:val="10"/>
                <w:b w:val="1"/>
                <w:bCs w:val="1"/>
                <w:color w:val="FFFFFE"/>
              </w:rPr>
              <w:t>Chief Executive, EMEA</w:t>
            </w:r>
          </w:p>
        </w:tc>
        <w:tc>
          <w:tcPr>
            <w:tcW w:w="940" w:type="dxa"/>
            <w:vAlign w:val="bottom"/>
            <w:tcBorders>
              <w:right w:val="single" w:sz="8" w:color="07B3E7"/>
            </w:tcBorders>
            <w:shd w:val="clear" w:color="auto" w:fill="07B3E7"/>
          </w:tcPr>
          <w:p>
            <w:pPr>
              <w:spacing w:after="0"/>
              <w:rPr>
                <w:sz w:val="9"/>
                <w:szCs w:val="9"/>
                <w:color w:val="auto"/>
              </w:rPr>
            </w:pPr>
          </w:p>
        </w:tc>
        <w:tc>
          <w:tcPr>
            <w:tcW w:w="940" w:type="dxa"/>
            <w:vAlign w:val="bottom"/>
            <w:tcBorders>
              <w:right w:val="single" w:sz="8" w:color="07B3E7"/>
            </w:tcBorders>
            <w:shd w:val="clear" w:color="auto" w:fill="07B3E7"/>
          </w:tcPr>
          <w:p>
            <w:pPr>
              <w:spacing w:after="0"/>
              <w:rPr>
                <w:sz w:val="9"/>
                <w:szCs w:val="9"/>
                <w:color w:val="auto"/>
              </w:rPr>
            </w:pPr>
          </w:p>
        </w:tc>
        <w:tc>
          <w:tcPr>
            <w:tcW w:w="140" w:type="dxa"/>
            <w:vAlign w:val="bottom"/>
            <w:shd w:val="clear" w:color="auto" w:fill="07B3E7"/>
          </w:tcPr>
          <w:p>
            <w:pPr>
              <w:spacing w:after="0"/>
              <w:rPr>
                <w:sz w:val="9"/>
                <w:szCs w:val="9"/>
                <w:color w:val="auto"/>
              </w:rPr>
            </w:pPr>
          </w:p>
        </w:tc>
        <w:tc>
          <w:tcPr>
            <w:tcW w:w="920" w:type="dxa"/>
            <w:vAlign w:val="bottom"/>
            <w:tcBorders>
              <w:right w:val="single" w:sz="8" w:color="07B3E7"/>
            </w:tcBorders>
            <w:shd w:val="clear" w:color="auto" w:fill="07B3E7"/>
          </w:tcPr>
          <w:p>
            <w:pPr>
              <w:spacing w:after="0"/>
              <w:rPr>
                <w:sz w:val="9"/>
                <w:szCs w:val="9"/>
                <w:color w:val="auto"/>
              </w:rPr>
            </w:pPr>
          </w:p>
        </w:tc>
        <w:tc>
          <w:tcPr>
            <w:tcW w:w="140" w:type="dxa"/>
            <w:vAlign w:val="bottom"/>
            <w:shd w:val="clear" w:color="auto" w:fill="07B3E7"/>
          </w:tcPr>
          <w:p>
            <w:pPr>
              <w:spacing w:after="0"/>
              <w:rPr>
                <w:sz w:val="9"/>
                <w:szCs w:val="9"/>
                <w:color w:val="auto"/>
              </w:rPr>
            </w:pPr>
          </w:p>
        </w:tc>
        <w:tc>
          <w:tcPr>
            <w:tcW w:w="900" w:type="dxa"/>
            <w:vAlign w:val="bottom"/>
            <w:tcBorders>
              <w:right w:val="single" w:sz="8" w:color="07B3E7"/>
            </w:tcBorders>
            <w:shd w:val="clear" w:color="auto" w:fill="07B3E7"/>
          </w:tcPr>
          <w:p>
            <w:pPr>
              <w:spacing w:after="0"/>
              <w:rPr>
                <w:sz w:val="9"/>
                <w:szCs w:val="9"/>
                <w:color w:val="auto"/>
              </w:rPr>
            </w:pPr>
          </w:p>
        </w:tc>
        <w:tc>
          <w:tcPr>
            <w:tcW w:w="240" w:type="dxa"/>
            <w:vAlign w:val="bottom"/>
            <w:shd w:val="clear" w:color="auto" w:fill="07B3E7"/>
          </w:tcPr>
          <w:p>
            <w:pPr>
              <w:spacing w:after="0"/>
              <w:rPr>
                <w:sz w:val="9"/>
                <w:szCs w:val="9"/>
                <w:color w:val="auto"/>
              </w:rPr>
            </w:pPr>
          </w:p>
        </w:tc>
        <w:tc>
          <w:tcPr>
            <w:tcW w:w="660" w:type="dxa"/>
            <w:vAlign w:val="bottom"/>
            <w:tcBorders>
              <w:right w:val="single" w:sz="8" w:color="07B3E7"/>
            </w:tcBorders>
            <w:shd w:val="clear" w:color="auto" w:fill="07B3E7"/>
          </w:tcPr>
          <w:p>
            <w:pPr>
              <w:spacing w:after="0"/>
              <w:rPr>
                <w:sz w:val="9"/>
                <w:szCs w:val="9"/>
                <w:color w:val="auto"/>
              </w:rPr>
            </w:pPr>
          </w:p>
        </w:tc>
        <w:tc>
          <w:tcPr>
            <w:tcW w:w="100" w:type="dxa"/>
            <w:vAlign w:val="bottom"/>
            <w:shd w:val="clear" w:color="auto" w:fill="07B3E7"/>
          </w:tcPr>
          <w:p>
            <w:pPr>
              <w:spacing w:after="0"/>
              <w:rPr>
                <w:sz w:val="9"/>
                <w:szCs w:val="9"/>
                <w:color w:val="auto"/>
              </w:rPr>
            </w:pPr>
          </w:p>
        </w:tc>
        <w:tc>
          <w:tcPr>
            <w:tcW w:w="760" w:type="dxa"/>
            <w:vAlign w:val="bottom"/>
            <w:tcBorders>
              <w:right w:val="single" w:sz="8" w:color="07B3E7"/>
            </w:tcBorders>
            <w:shd w:val="clear" w:color="auto" w:fill="07B3E7"/>
          </w:tcPr>
          <w:p>
            <w:pPr>
              <w:spacing w:after="0"/>
              <w:rPr>
                <w:sz w:val="9"/>
                <w:szCs w:val="9"/>
                <w:color w:val="auto"/>
              </w:rPr>
            </w:pPr>
          </w:p>
        </w:tc>
        <w:tc>
          <w:tcPr>
            <w:tcW w:w="1020" w:type="dxa"/>
            <w:vAlign w:val="bottom"/>
            <w:shd w:val="clear" w:color="auto" w:fill="07B3E7"/>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1720" w:type="dxa"/>
            <w:vAlign w:val="bottom"/>
            <w:tcBorders>
              <w:bottom w:val="single" w:sz="8" w:color="00B2E5"/>
            </w:tcBorders>
            <w:gridSpan w:val="2"/>
          </w:tcPr>
          <w:p>
            <w:pPr>
              <w:spacing w:after="0"/>
              <w:rPr>
                <w:sz w:val="20"/>
                <w:szCs w:val="20"/>
                <w:color w:val="auto"/>
              </w:rPr>
            </w:pPr>
            <w:r>
              <w:rPr>
                <w:rFonts w:ascii="Arial" w:cs="Arial" w:eastAsia="Arial" w:hAnsi="Arial"/>
                <w:sz w:val="10"/>
                <w:szCs w:val="10"/>
                <w:color w:val="auto"/>
              </w:rPr>
              <w:t>Pre-VC EBITA (DCS EMEA)</w:t>
            </w:r>
          </w:p>
        </w:tc>
        <w:tc>
          <w:tcPr>
            <w:tcW w:w="940" w:type="dxa"/>
            <w:vAlign w:val="bottom"/>
            <w:tcBorders>
              <w:bottom w:val="single" w:sz="8" w:color="00B2E5"/>
              <w:right w:val="single" w:sz="8" w:color="00B2E5"/>
            </w:tcBorders>
          </w:tcPr>
          <w:p>
            <w:pPr>
              <w:spacing w:after="0"/>
              <w:rPr>
                <w:sz w:val="19"/>
                <w:szCs w:val="19"/>
                <w:color w:val="auto"/>
              </w:rPr>
            </w:pPr>
          </w:p>
        </w:tc>
        <w:tc>
          <w:tcPr>
            <w:tcW w:w="940" w:type="dxa"/>
            <w:vAlign w:val="bottom"/>
            <w:tcBorders>
              <w:bottom w:val="single" w:sz="8" w:color="00B2E5"/>
              <w:right w:val="single" w:sz="8" w:color="00B2E5"/>
            </w:tcBorders>
          </w:tcPr>
          <w:p>
            <w:pPr>
              <w:jc w:val="right"/>
              <w:ind w:right="171"/>
              <w:spacing w:after="0"/>
              <w:rPr>
                <w:sz w:val="20"/>
                <w:szCs w:val="20"/>
                <w:color w:val="auto"/>
              </w:rPr>
            </w:pPr>
            <w:r>
              <w:rPr>
                <w:rFonts w:ascii="Arial" w:cs="Arial" w:eastAsia="Arial" w:hAnsi="Arial"/>
                <w:sz w:val="10"/>
                <w:szCs w:val="10"/>
                <w:color w:val="auto"/>
              </w:rPr>
              <w:t>42%</w:t>
            </w:r>
          </w:p>
        </w:tc>
        <w:tc>
          <w:tcPr>
            <w:tcW w:w="140" w:type="dxa"/>
            <w:vAlign w:val="bottom"/>
            <w:tcBorders>
              <w:bottom w:val="single" w:sz="8" w:color="00B2E5"/>
            </w:tcBorders>
          </w:tcPr>
          <w:p>
            <w:pPr>
              <w:ind w:left="4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00B2E5"/>
              <w:right w:val="single" w:sz="8" w:color="00B2E5"/>
            </w:tcBorders>
          </w:tcPr>
          <w:p>
            <w:pPr>
              <w:jc w:val="right"/>
              <w:ind w:right="271"/>
              <w:spacing w:after="0"/>
              <w:rPr>
                <w:sz w:val="20"/>
                <w:szCs w:val="20"/>
                <w:color w:val="auto"/>
              </w:rPr>
            </w:pPr>
            <w:r>
              <w:rPr>
                <w:rFonts w:ascii="Arial" w:cs="Arial" w:eastAsia="Arial" w:hAnsi="Arial"/>
                <w:sz w:val="10"/>
                <w:szCs w:val="10"/>
                <w:color w:val="auto"/>
              </w:rPr>
              <w:t>48.4</w:t>
            </w:r>
          </w:p>
        </w:tc>
        <w:tc>
          <w:tcPr>
            <w:tcW w:w="140" w:type="dxa"/>
            <w:vAlign w:val="bottom"/>
            <w:tcBorders>
              <w:bottom w:val="single" w:sz="8" w:color="00B2E5"/>
            </w:tcBorders>
          </w:tcPr>
          <w:p>
            <w:pPr>
              <w:ind w:left="4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00B2E5"/>
              <w:right w:val="single" w:sz="8" w:color="00B2E5"/>
            </w:tcBorders>
          </w:tcPr>
          <w:p>
            <w:pPr>
              <w:jc w:val="right"/>
              <w:ind w:right="251"/>
              <w:spacing w:after="0"/>
              <w:rPr>
                <w:sz w:val="20"/>
                <w:szCs w:val="20"/>
                <w:color w:val="auto"/>
              </w:rPr>
            </w:pPr>
            <w:r>
              <w:rPr>
                <w:rFonts w:ascii="Arial" w:cs="Arial" w:eastAsia="Arial" w:hAnsi="Arial"/>
                <w:sz w:val="10"/>
                <w:szCs w:val="10"/>
                <w:color w:val="auto"/>
              </w:rPr>
              <w:t>53.8</w:t>
            </w:r>
          </w:p>
        </w:tc>
        <w:tc>
          <w:tcPr>
            <w:tcW w:w="240" w:type="dxa"/>
            <w:vAlign w:val="bottom"/>
            <w:tcBorders>
              <w:bottom w:val="single" w:sz="8" w:color="00B2E5"/>
            </w:tcBorders>
          </w:tcPr>
          <w:p>
            <w:pPr>
              <w:jc w:val="right"/>
              <w:ind w:right="9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00B2E5"/>
              <w:right w:val="single" w:sz="8" w:color="00B2E5"/>
            </w:tcBorders>
          </w:tcPr>
          <w:p>
            <w:pPr>
              <w:jc w:val="right"/>
              <w:ind w:right="251"/>
              <w:spacing w:after="0"/>
              <w:rPr>
                <w:sz w:val="20"/>
                <w:szCs w:val="20"/>
                <w:color w:val="auto"/>
              </w:rPr>
            </w:pPr>
            <w:r>
              <w:rPr>
                <w:rFonts w:ascii="Arial" w:cs="Arial" w:eastAsia="Arial" w:hAnsi="Arial"/>
                <w:sz w:val="10"/>
                <w:szCs w:val="10"/>
                <w:color w:val="auto"/>
              </w:rPr>
              <w:t>72.6</w:t>
            </w:r>
          </w:p>
        </w:tc>
        <w:tc>
          <w:tcPr>
            <w:tcW w:w="100" w:type="dxa"/>
            <w:vAlign w:val="bottom"/>
            <w:tcBorders>
              <w:bottom w:val="single" w:sz="8" w:color="00B2E5"/>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00B2E5"/>
              <w:right w:val="single" w:sz="8" w:color="00B2E5"/>
            </w:tcBorders>
          </w:tcPr>
          <w:p>
            <w:pPr>
              <w:jc w:val="right"/>
              <w:ind w:right="171"/>
              <w:spacing w:after="0"/>
              <w:rPr>
                <w:sz w:val="20"/>
                <w:szCs w:val="20"/>
                <w:color w:val="auto"/>
              </w:rPr>
            </w:pPr>
            <w:r>
              <w:rPr>
                <w:rFonts w:ascii="Arial" w:cs="Arial" w:eastAsia="Arial" w:hAnsi="Arial"/>
                <w:sz w:val="10"/>
                <w:szCs w:val="10"/>
                <w:color w:val="auto"/>
              </w:rPr>
              <w:t>58.4</w:t>
            </w:r>
          </w:p>
        </w:tc>
        <w:tc>
          <w:tcPr>
            <w:tcW w:w="1020" w:type="dxa"/>
            <w:vAlign w:val="bottom"/>
            <w:tcBorders>
              <w:bottom w:val="single" w:sz="8" w:color="00B2E5"/>
            </w:tcBorders>
          </w:tcPr>
          <w:p>
            <w:pPr>
              <w:jc w:val="right"/>
              <w:ind w:right="151"/>
              <w:spacing w:after="0"/>
              <w:rPr>
                <w:sz w:val="20"/>
                <w:szCs w:val="20"/>
                <w:color w:val="auto"/>
              </w:rPr>
            </w:pPr>
            <w:r>
              <w:rPr>
                <w:rFonts w:ascii="Arial" w:cs="Arial" w:eastAsia="Arial" w:hAnsi="Arial"/>
                <w:sz w:val="10"/>
                <w:szCs w:val="10"/>
                <w:color w:val="auto"/>
              </w:rPr>
              <w:t>52.3%</w:t>
            </w:r>
          </w:p>
        </w:tc>
        <w:tc>
          <w:tcPr>
            <w:tcW w:w="0" w:type="dxa"/>
            <w:vAlign w:val="bottom"/>
          </w:tcPr>
          <w:p>
            <w:pPr>
              <w:spacing w:after="0"/>
              <w:rPr>
                <w:sz w:val="1"/>
                <w:szCs w:val="1"/>
                <w:color w:val="auto"/>
              </w:rPr>
            </w:pPr>
          </w:p>
        </w:tc>
      </w:tr>
      <w:tr>
        <w:trPr>
          <w:trHeight w:val="98"/>
        </w:trPr>
        <w:tc>
          <w:tcPr>
            <w:tcW w:w="1340" w:type="dxa"/>
            <w:vAlign w:val="bottom"/>
          </w:tcPr>
          <w:p>
            <w:pPr>
              <w:spacing w:after="0"/>
              <w:rPr>
                <w:sz w:val="8"/>
                <w:szCs w:val="8"/>
                <w:color w:val="auto"/>
              </w:rPr>
            </w:pPr>
          </w:p>
        </w:tc>
        <w:tc>
          <w:tcPr>
            <w:tcW w:w="1720" w:type="dxa"/>
            <w:vAlign w:val="bottom"/>
            <w:tcBorders>
              <w:bottom w:val="single" w:sz="8" w:color="00B2E5"/>
            </w:tcBorders>
            <w:gridSpan w:val="2"/>
          </w:tcPr>
          <w:p>
            <w:pPr>
              <w:spacing w:after="0" w:line="99" w:lineRule="exact"/>
              <w:rPr>
                <w:sz w:val="20"/>
                <w:szCs w:val="20"/>
                <w:color w:val="auto"/>
              </w:rPr>
            </w:pPr>
            <w:r>
              <w:rPr>
                <w:rFonts w:ascii="Arial" w:cs="Arial" w:eastAsia="Arial" w:hAnsi="Arial"/>
                <w:sz w:val="10"/>
                <w:szCs w:val="10"/>
                <w:color w:val="auto"/>
              </w:rPr>
              <w:t>Op Cash Flow (DCS EMEA)</w:t>
            </w:r>
          </w:p>
        </w:tc>
        <w:tc>
          <w:tcPr>
            <w:tcW w:w="940" w:type="dxa"/>
            <w:vAlign w:val="bottom"/>
            <w:tcBorders>
              <w:bottom w:val="single" w:sz="8" w:color="00B2E5"/>
              <w:right w:val="single" w:sz="8" w:color="00B2E5"/>
            </w:tcBorders>
          </w:tcPr>
          <w:p>
            <w:pPr>
              <w:spacing w:after="0"/>
              <w:rPr>
                <w:sz w:val="8"/>
                <w:szCs w:val="8"/>
                <w:color w:val="auto"/>
              </w:rPr>
            </w:pPr>
          </w:p>
        </w:tc>
        <w:tc>
          <w:tcPr>
            <w:tcW w:w="940" w:type="dxa"/>
            <w:vAlign w:val="bottom"/>
            <w:tcBorders>
              <w:bottom w:val="single" w:sz="8" w:color="00B2E5"/>
              <w:right w:val="single" w:sz="8" w:color="00B2E5"/>
            </w:tcBorders>
          </w:tcPr>
          <w:p>
            <w:pPr>
              <w:jc w:val="right"/>
              <w:ind w:right="171"/>
              <w:spacing w:after="0" w:line="99" w:lineRule="exact"/>
              <w:rPr>
                <w:sz w:val="20"/>
                <w:szCs w:val="20"/>
                <w:color w:val="auto"/>
              </w:rPr>
            </w:pPr>
            <w:r>
              <w:rPr>
                <w:rFonts w:ascii="Arial" w:cs="Arial" w:eastAsia="Arial" w:hAnsi="Arial"/>
                <w:sz w:val="10"/>
                <w:szCs w:val="10"/>
                <w:color w:val="auto"/>
              </w:rPr>
              <w:t>28%</w:t>
            </w:r>
          </w:p>
        </w:tc>
        <w:tc>
          <w:tcPr>
            <w:tcW w:w="140" w:type="dxa"/>
            <w:vAlign w:val="bottom"/>
            <w:tcBorders>
              <w:bottom w:val="single" w:sz="8" w:color="00B2E5"/>
            </w:tcBorders>
          </w:tcPr>
          <w:p>
            <w:pPr>
              <w:ind w:left="40"/>
              <w:spacing w:after="0" w:line="99" w:lineRule="exact"/>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00B2E5"/>
              <w:right w:val="single" w:sz="8" w:color="00B2E5"/>
            </w:tcBorders>
          </w:tcPr>
          <w:p>
            <w:pPr>
              <w:jc w:val="right"/>
              <w:ind w:right="271"/>
              <w:spacing w:after="0" w:line="99" w:lineRule="exact"/>
              <w:rPr>
                <w:sz w:val="20"/>
                <w:szCs w:val="20"/>
                <w:color w:val="auto"/>
              </w:rPr>
            </w:pPr>
            <w:r>
              <w:rPr>
                <w:rFonts w:ascii="Arial" w:cs="Arial" w:eastAsia="Arial" w:hAnsi="Arial"/>
                <w:sz w:val="10"/>
                <w:szCs w:val="10"/>
                <w:color w:val="auto"/>
              </w:rPr>
              <w:t>12.3</w:t>
            </w:r>
          </w:p>
        </w:tc>
        <w:tc>
          <w:tcPr>
            <w:tcW w:w="140" w:type="dxa"/>
            <w:vAlign w:val="bottom"/>
            <w:tcBorders>
              <w:bottom w:val="single" w:sz="8" w:color="00B2E5"/>
            </w:tcBorders>
          </w:tcPr>
          <w:p>
            <w:pPr>
              <w:ind w:left="40"/>
              <w:spacing w:after="0" w:line="99" w:lineRule="exact"/>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00B2E5"/>
              <w:right w:val="single" w:sz="8" w:color="00B2E5"/>
            </w:tcBorders>
          </w:tcPr>
          <w:p>
            <w:pPr>
              <w:jc w:val="right"/>
              <w:ind w:right="251"/>
              <w:spacing w:after="0" w:line="99" w:lineRule="exact"/>
              <w:rPr>
                <w:sz w:val="20"/>
                <w:szCs w:val="20"/>
                <w:color w:val="auto"/>
              </w:rPr>
            </w:pPr>
            <w:r>
              <w:rPr>
                <w:rFonts w:ascii="Arial" w:cs="Arial" w:eastAsia="Arial" w:hAnsi="Arial"/>
                <w:sz w:val="10"/>
                <w:szCs w:val="10"/>
                <w:color w:val="auto"/>
              </w:rPr>
              <w:t>11.2</w:t>
            </w:r>
          </w:p>
        </w:tc>
        <w:tc>
          <w:tcPr>
            <w:tcW w:w="240" w:type="dxa"/>
            <w:vAlign w:val="bottom"/>
            <w:tcBorders>
              <w:bottom w:val="single" w:sz="8" w:color="00B2E5"/>
            </w:tcBorders>
          </w:tcPr>
          <w:p>
            <w:pPr>
              <w:jc w:val="right"/>
              <w:ind w:right="91"/>
              <w:spacing w:after="0" w:line="99"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00B2E5"/>
              <w:right w:val="single" w:sz="8" w:color="00B2E5"/>
            </w:tcBorders>
          </w:tcPr>
          <w:p>
            <w:pPr>
              <w:jc w:val="right"/>
              <w:ind w:right="251"/>
              <w:spacing w:after="0" w:line="99" w:lineRule="exact"/>
              <w:rPr>
                <w:sz w:val="20"/>
                <w:szCs w:val="20"/>
                <w:color w:val="auto"/>
              </w:rPr>
            </w:pPr>
            <w:r>
              <w:rPr>
                <w:rFonts w:ascii="Arial" w:cs="Arial" w:eastAsia="Arial" w:hAnsi="Arial"/>
                <w:sz w:val="10"/>
                <w:szCs w:val="10"/>
                <w:color w:val="auto"/>
              </w:rPr>
              <w:t>38.8</w:t>
            </w:r>
          </w:p>
        </w:tc>
        <w:tc>
          <w:tcPr>
            <w:tcW w:w="100" w:type="dxa"/>
            <w:vAlign w:val="bottom"/>
            <w:tcBorders>
              <w:bottom w:val="single" w:sz="8" w:color="00B2E5"/>
            </w:tcBorders>
          </w:tcPr>
          <w:p>
            <w:pPr>
              <w:jc w:val="right"/>
              <w:spacing w:after="0" w:line="99" w:lineRule="exact"/>
              <w:rPr>
                <w:sz w:val="20"/>
                <w:szCs w:val="20"/>
                <w:color w:val="auto"/>
              </w:rPr>
            </w:pPr>
            <w:r>
              <w:rPr>
                <w:rFonts w:ascii="Arial" w:cs="Arial" w:eastAsia="Arial" w:hAnsi="Arial"/>
                <w:sz w:val="10"/>
                <w:szCs w:val="10"/>
                <w:color w:val="auto"/>
              </w:rPr>
              <w:t>$</w:t>
            </w:r>
          </w:p>
        </w:tc>
        <w:tc>
          <w:tcPr>
            <w:tcW w:w="760" w:type="dxa"/>
            <w:vAlign w:val="bottom"/>
            <w:tcBorders>
              <w:bottom w:val="single" w:sz="8" w:color="00B2E5"/>
              <w:right w:val="single" w:sz="8" w:color="00B2E5"/>
            </w:tcBorders>
          </w:tcPr>
          <w:p>
            <w:pPr>
              <w:jc w:val="right"/>
              <w:ind w:right="171"/>
              <w:spacing w:after="0" w:line="99" w:lineRule="exact"/>
              <w:rPr>
                <w:sz w:val="20"/>
                <w:szCs w:val="20"/>
                <w:color w:val="auto"/>
              </w:rPr>
            </w:pPr>
            <w:r>
              <w:rPr>
                <w:rFonts w:ascii="Arial" w:cs="Arial" w:eastAsia="Arial" w:hAnsi="Arial"/>
                <w:sz w:val="10"/>
                <w:szCs w:val="10"/>
                <w:color w:val="auto"/>
              </w:rPr>
              <w:t>70.5</w:t>
            </w:r>
          </w:p>
        </w:tc>
        <w:tc>
          <w:tcPr>
            <w:tcW w:w="1020" w:type="dxa"/>
            <w:vAlign w:val="bottom"/>
            <w:tcBorders>
              <w:bottom w:val="single" w:sz="8" w:color="00B2E5"/>
            </w:tcBorders>
          </w:tcPr>
          <w:p>
            <w:pPr>
              <w:jc w:val="right"/>
              <w:ind w:right="151"/>
              <w:spacing w:after="0" w:line="99" w:lineRule="exact"/>
              <w:rPr>
                <w:sz w:val="20"/>
                <w:szCs w:val="20"/>
                <w:color w:val="auto"/>
              </w:rPr>
            </w:pPr>
            <w:r>
              <w:rPr>
                <w:rFonts w:ascii="Arial" w:cs="Arial" w:eastAsia="Arial" w:hAnsi="Arial"/>
                <w:sz w:val="10"/>
                <w:szCs w:val="10"/>
                <w:color w:val="auto"/>
              </w:rPr>
              <w:t>56.0%</w:t>
            </w:r>
          </w:p>
        </w:tc>
        <w:tc>
          <w:tcPr>
            <w:tcW w:w="0" w:type="dxa"/>
            <w:vAlign w:val="bottom"/>
          </w:tcPr>
          <w:p>
            <w:pPr>
              <w:spacing w:after="0"/>
              <w:rPr>
                <w:sz w:val="1"/>
                <w:szCs w:val="1"/>
                <w:color w:val="auto"/>
              </w:rPr>
            </w:pPr>
          </w:p>
        </w:tc>
      </w:tr>
      <w:tr>
        <w:trPr>
          <w:trHeight w:val="98"/>
        </w:trPr>
        <w:tc>
          <w:tcPr>
            <w:tcW w:w="1340" w:type="dxa"/>
            <w:vAlign w:val="bottom"/>
          </w:tcPr>
          <w:p>
            <w:pPr>
              <w:spacing w:after="0"/>
              <w:rPr>
                <w:sz w:val="8"/>
                <w:szCs w:val="8"/>
                <w:color w:val="auto"/>
              </w:rPr>
            </w:pPr>
          </w:p>
        </w:tc>
        <w:tc>
          <w:tcPr>
            <w:tcW w:w="1720" w:type="dxa"/>
            <w:vAlign w:val="bottom"/>
            <w:gridSpan w:val="2"/>
          </w:tcPr>
          <w:p>
            <w:pPr>
              <w:spacing w:after="0" w:line="99" w:lineRule="exact"/>
              <w:rPr>
                <w:sz w:val="20"/>
                <w:szCs w:val="20"/>
                <w:color w:val="auto"/>
              </w:rPr>
            </w:pPr>
            <w:r>
              <w:rPr>
                <w:rFonts w:ascii="Arial" w:cs="Arial" w:eastAsia="Arial" w:hAnsi="Arial"/>
                <w:sz w:val="10"/>
                <w:szCs w:val="10"/>
                <w:color w:val="auto"/>
              </w:rPr>
              <w:t>KPIs</w:t>
            </w:r>
          </w:p>
        </w:tc>
        <w:tc>
          <w:tcPr>
            <w:tcW w:w="940" w:type="dxa"/>
            <w:vAlign w:val="bottom"/>
            <w:tcBorders>
              <w:right w:val="single" w:sz="8" w:color="00B2E5"/>
            </w:tcBorders>
          </w:tcPr>
          <w:p>
            <w:pPr>
              <w:spacing w:after="0"/>
              <w:rPr>
                <w:sz w:val="8"/>
                <w:szCs w:val="8"/>
                <w:color w:val="auto"/>
              </w:rPr>
            </w:pPr>
          </w:p>
        </w:tc>
        <w:tc>
          <w:tcPr>
            <w:tcW w:w="940" w:type="dxa"/>
            <w:vAlign w:val="bottom"/>
            <w:tcBorders>
              <w:right w:val="single" w:sz="8" w:color="00B2E5"/>
            </w:tcBorders>
          </w:tcPr>
          <w:p>
            <w:pPr>
              <w:jc w:val="right"/>
              <w:ind w:right="171"/>
              <w:spacing w:after="0" w:line="99" w:lineRule="exact"/>
              <w:rPr>
                <w:sz w:val="20"/>
                <w:szCs w:val="20"/>
                <w:color w:val="auto"/>
              </w:rPr>
            </w:pPr>
            <w:r>
              <w:rPr>
                <w:rFonts w:ascii="Arial" w:cs="Arial" w:eastAsia="Arial" w:hAnsi="Arial"/>
                <w:sz w:val="10"/>
                <w:szCs w:val="10"/>
                <w:color w:val="auto"/>
              </w:rPr>
              <w:t>30%</w:t>
            </w:r>
          </w:p>
        </w:tc>
        <w:tc>
          <w:tcPr>
            <w:tcW w:w="140" w:type="dxa"/>
            <w:vAlign w:val="bottom"/>
            <w:shd w:val="clear" w:color="auto" w:fill="90D1F1"/>
          </w:tcPr>
          <w:p>
            <w:pPr>
              <w:spacing w:after="0"/>
              <w:rPr>
                <w:sz w:val="8"/>
                <w:szCs w:val="8"/>
                <w:color w:val="auto"/>
              </w:rPr>
            </w:pPr>
          </w:p>
        </w:tc>
        <w:tc>
          <w:tcPr>
            <w:tcW w:w="920" w:type="dxa"/>
            <w:vAlign w:val="bottom"/>
            <w:tcBorders>
              <w:right w:val="single" w:sz="8" w:color="90D1F1"/>
            </w:tcBorders>
            <w:shd w:val="clear" w:color="auto" w:fill="90D1F1"/>
          </w:tcPr>
          <w:p>
            <w:pPr>
              <w:spacing w:after="0"/>
              <w:rPr>
                <w:sz w:val="8"/>
                <w:szCs w:val="8"/>
                <w:color w:val="auto"/>
              </w:rPr>
            </w:pPr>
          </w:p>
        </w:tc>
        <w:tc>
          <w:tcPr>
            <w:tcW w:w="140" w:type="dxa"/>
            <w:vAlign w:val="bottom"/>
            <w:shd w:val="clear" w:color="auto" w:fill="90D1F1"/>
          </w:tcPr>
          <w:p>
            <w:pPr>
              <w:spacing w:after="0"/>
              <w:rPr>
                <w:sz w:val="8"/>
                <w:szCs w:val="8"/>
                <w:color w:val="auto"/>
              </w:rPr>
            </w:pPr>
          </w:p>
        </w:tc>
        <w:tc>
          <w:tcPr>
            <w:tcW w:w="900" w:type="dxa"/>
            <w:vAlign w:val="bottom"/>
            <w:tcBorders>
              <w:right w:val="single" w:sz="8" w:color="90D1F1"/>
            </w:tcBorders>
            <w:shd w:val="clear" w:color="auto" w:fill="90D1F1"/>
          </w:tcPr>
          <w:p>
            <w:pPr>
              <w:spacing w:after="0"/>
              <w:rPr>
                <w:sz w:val="8"/>
                <w:szCs w:val="8"/>
                <w:color w:val="auto"/>
              </w:rPr>
            </w:pPr>
          </w:p>
        </w:tc>
        <w:tc>
          <w:tcPr>
            <w:tcW w:w="240" w:type="dxa"/>
            <w:vAlign w:val="bottom"/>
            <w:shd w:val="clear" w:color="auto" w:fill="90D1F1"/>
          </w:tcPr>
          <w:p>
            <w:pPr>
              <w:spacing w:after="0"/>
              <w:rPr>
                <w:sz w:val="8"/>
                <w:szCs w:val="8"/>
                <w:color w:val="auto"/>
              </w:rPr>
            </w:pPr>
          </w:p>
        </w:tc>
        <w:tc>
          <w:tcPr>
            <w:tcW w:w="660" w:type="dxa"/>
            <w:vAlign w:val="bottom"/>
            <w:tcBorders>
              <w:right w:val="single" w:sz="8" w:color="90D1F1"/>
            </w:tcBorders>
            <w:shd w:val="clear" w:color="auto" w:fill="90D1F1"/>
          </w:tcPr>
          <w:p>
            <w:pPr>
              <w:spacing w:after="0"/>
              <w:rPr>
                <w:sz w:val="8"/>
                <w:szCs w:val="8"/>
                <w:color w:val="auto"/>
              </w:rPr>
            </w:pPr>
          </w:p>
        </w:tc>
        <w:tc>
          <w:tcPr>
            <w:tcW w:w="100" w:type="dxa"/>
            <w:vAlign w:val="bottom"/>
            <w:shd w:val="clear" w:color="auto" w:fill="90D1F1"/>
          </w:tcPr>
          <w:p>
            <w:pPr>
              <w:spacing w:after="0"/>
              <w:rPr>
                <w:sz w:val="8"/>
                <w:szCs w:val="8"/>
                <w:color w:val="auto"/>
              </w:rPr>
            </w:pPr>
          </w:p>
        </w:tc>
        <w:tc>
          <w:tcPr>
            <w:tcW w:w="760" w:type="dxa"/>
            <w:vAlign w:val="bottom"/>
            <w:tcBorders>
              <w:right w:val="single" w:sz="8" w:color="00B2E5"/>
            </w:tcBorders>
            <w:shd w:val="clear" w:color="auto" w:fill="90D1F1"/>
          </w:tcPr>
          <w:p>
            <w:pPr>
              <w:spacing w:after="0"/>
              <w:rPr>
                <w:sz w:val="8"/>
                <w:szCs w:val="8"/>
                <w:color w:val="auto"/>
              </w:rPr>
            </w:pPr>
          </w:p>
        </w:tc>
        <w:tc>
          <w:tcPr>
            <w:tcW w:w="1020" w:type="dxa"/>
            <w:vAlign w:val="bottom"/>
          </w:tcPr>
          <w:p>
            <w:pPr>
              <w:jc w:val="right"/>
              <w:ind w:right="151"/>
              <w:spacing w:after="0" w:line="99" w:lineRule="exact"/>
              <w:rPr>
                <w:sz w:val="20"/>
                <w:szCs w:val="20"/>
                <w:color w:val="auto"/>
              </w:rPr>
            </w:pPr>
            <w:r>
              <w:rPr>
                <w:rFonts w:ascii="Arial" w:cs="Arial" w:eastAsia="Arial" w:hAnsi="Arial"/>
                <w:sz w:val="10"/>
                <w:szCs w:val="10"/>
                <w:color w:val="auto"/>
              </w:rPr>
              <w:t>45.0%</w:t>
            </w:r>
          </w:p>
        </w:tc>
        <w:tc>
          <w:tcPr>
            <w:tcW w:w="0" w:type="dxa"/>
            <w:vAlign w:val="bottom"/>
          </w:tcPr>
          <w:p>
            <w:pPr>
              <w:spacing w:after="0"/>
              <w:rPr>
                <w:sz w:val="1"/>
                <w:szCs w:val="1"/>
                <w:color w:val="auto"/>
              </w:rPr>
            </w:pPr>
          </w:p>
        </w:tc>
      </w:tr>
      <w:tr>
        <w:trPr>
          <w:trHeight w:val="98"/>
        </w:trPr>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tcBorders>
              <w:top w:val="single" w:sz="8" w:color="00B2E5"/>
              <w:bottom w:val="single" w:sz="8" w:color="00B2E5"/>
            </w:tcBorders>
          </w:tcPr>
          <w:p>
            <w:pPr>
              <w:spacing w:after="0" w:line="99" w:lineRule="exact"/>
              <w:rPr>
                <w:sz w:val="20"/>
                <w:szCs w:val="20"/>
                <w:color w:val="auto"/>
              </w:rPr>
            </w:pPr>
            <w:r>
              <w:rPr>
                <w:rFonts w:ascii="Arial" w:cs="Arial" w:eastAsia="Arial" w:hAnsi="Arial"/>
                <w:sz w:val="10"/>
                <w:szCs w:val="10"/>
                <w:b w:val="1"/>
                <w:bCs w:val="1"/>
                <w:color w:val="auto"/>
              </w:rPr>
              <w:t>Total</w:t>
            </w:r>
          </w:p>
        </w:tc>
        <w:tc>
          <w:tcPr>
            <w:tcW w:w="940" w:type="dxa"/>
            <w:vAlign w:val="bottom"/>
            <w:tcBorders>
              <w:top w:val="single" w:sz="8" w:color="00B2E5"/>
              <w:bottom w:val="single" w:sz="8" w:color="00B2E5"/>
              <w:right w:val="single" w:sz="8" w:color="00B2E5"/>
            </w:tcBorders>
          </w:tcPr>
          <w:p>
            <w:pPr>
              <w:spacing w:after="0"/>
              <w:rPr>
                <w:sz w:val="8"/>
                <w:szCs w:val="8"/>
                <w:color w:val="auto"/>
              </w:rPr>
            </w:pPr>
          </w:p>
        </w:tc>
        <w:tc>
          <w:tcPr>
            <w:tcW w:w="94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140" w:type="dxa"/>
            <w:vAlign w:val="bottom"/>
            <w:tcBorders>
              <w:top w:val="single" w:sz="8" w:color="00B2E5"/>
              <w:bottom w:val="single" w:sz="8" w:color="00B2E5"/>
            </w:tcBorders>
            <w:shd w:val="clear" w:color="auto" w:fill="90D1F1"/>
          </w:tcPr>
          <w:p>
            <w:pPr>
              <w:spacing w:after="0"/>
              <w:rPr>
                <w:sz w:val="8"/>
                <w:szCs w:val="8"/>
                <w:color w:val="auto"/>
              </w:rPr>
            </w:pPr>
          </w:p>
        </w:tc>
        <w:tc>
          <w:tcPr>
            <w:tcW w:w="92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140" w:type="dxa"/>
            <w:vAlign w:val="bottom"/>
            <w:tcBorders>
              <w:top w:val="single" w:sz="8" w:color="00B2E5"/>
              <w:bottom w:val="single" w:sz="8" w:color="00B2E5"/>
            </w:tcBorders>
            <w:shd w:val="clear" w:color="auto" w:fill="90D1F1"/>
          </w:tcPr>
          <w:p>
            <w:pPr>
              <w:spacing w:after="0"/>
              <w:rPr>
                <w:sz w:val="8"/>
                <w:szCs w:val="8"/>
                <w:color w:val="auto"/>
              </w:rPr>
            </w:pPr>
          </w:p>
        </w:tc>
        <w:tc>
          <w:tcPr>
            <w:tcW w:w="90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240" w:type="dxa"/>
            <w:vAlign w:val="bottom"/>
            <w:tcBorders>
              <w:top w:val="single" w:sz="8" w:color="00B2E5"/>
              <w:bottom w:val="single" w:sz="8" w:color="00B2E5"/>
            </w:tcBorders>
            <w:shd w:val="clear" w:color="auto" w:fill="90D1F1"/>
          </w:tcPr>
          <w:p>
            <w:pPr>
              <w:spacing w:after="0"/>
              <w:rPr>
                <w:sz w:val="8"/>
                <w:szCs w:val="8"/>
                <w:color w:val="auto"/>
              </w:rPr>
            </w:pPr>
          </w:p>
        </w:tc>
        <w:tc>
          <w:tcPr>
            <w:tcW w:w="66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100" w:type="dxa"/>
            <w:vAlign w:val="bottom"/>
            <w:tcBorders>
              <w:top w:val="single" w:sz="8" w:color="00B2E5"/>
              <w:bottom w:val="single" w:sz="8" w:color="00B2E5"/>
            </w:tcBorders>
            <w:shd w:val="clear" w:color="auto" w:fill="90D1F1"/>
          </w:tcPr>
          <w:p>
            <w:pPr>
              <w:spacing w:after="0"/>
              <w:rPr>
                <w:sz w:val="8"/>
                <w:szCs w:val="8"/>
                <w:color w:val="auto"/>
              </w:rPr>
            </w:pPr>
          </w:p>
        </w:tc>
        <w:tc>
          <w:tcPr>
            <w:tcW w:w="760" w:type="dxa"/>
            <w:vAlign w:val="bottom"/>
            <w:tcBorders>
              <w:top w:val="single" w:sz="8" w:color="00B2E5"/>
              <w:bottom w:val="single" w:sz="8" w:color="00B2E5"/>
              <w:right w:val="single" w:sz="8" w:color="00B2E5"/>
            </w:tcBorders>
            <w:shd w:val="clear" w:color="auto" w:fill="90D1F1"/>
          </w:tcPr>
          <w:p>
            <w:pPr>
              <w:spacing w:after="0"/>
              <w:rPr>
                <w:sz w:val="8"/>
                <w:szCs w:val="8"/>
                <w:color w:val="auto"/>
              </w:rPr>
            </w:pPr>
          </w:p>
        </w:tc>
        <w:tc>
          <w:tcPr>
            <w:tcW w:w="1020" w:type="dxa"/>
            <w:vAlign w:val="bottom"/>
            <w:tcBorders>
              <w:top w:val="single" w:sz="8" w:color="00B2E5"/>
              <w:bottom w:val="single" w:sz="8" w:color="00B2E5"/>
            </w:tcBorders>
          </w:tcPr>
          <w:p>
            <w:pPr>
              <w:jc w:val="right"/>
              <w:ind w:right="151"/>
              <w:spacing w:after="0" w:line="99" w:lineRule="exact"/>
              <w:rPr>
                <w:sz w:val="20"/>
                <w:szCs w:val="20"/>
                <w:color w:val="auto"/>
              </w:rPr>
            </w:pPr>
            <w:r>
              <w:rPr>
                <w:rFonts w:ascii="Arial" w:cs="Arial" w:eastAsia="Arial" w:hAnsi="Arial"/>
                <w:sz w:val="10"/>
                <w:szCs w:val="10"/>
                <w:color w:val="auto"/>
              </w:rPr>
              <w:t>153.3%</w:t>
            </w:r>
          </w:p>
        </w:tc>
        <w:tc>
          <w:tcPr>
            <w:tcW w:w="0" w:type="dxa"/>
            <w:vAlign w:val="bottom"/>
          </w:tcPr>
          <w:p>
            <w:pPr>
              <w:spacing w:after="0"/>
              <w:rPr>
                <w:sz w:val="1"/>
                <w:szCs w:val="1"/>
                <w:color w:val="auto"/>
              </w:rPr>
            </w:pPr>
          </w:p>
        </w:tc>
      </w:tr>
      <w:tr>
        <w:trPr>
          <w:trHeight w:val="62"/>
        </w:trPr>
        <w:tc>
          <w:tcPr>
            <w:tcW w:w="1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367" w:hanging="367"/>
        <w:spacing w:after="0"/>
        <w:tabs>
          <w:tab w:leader="none" w:pos="367" w:val="left"/>
        </w:tabs>
        <w:numPr>
          <w:ilvl w:val="0"/>
          <w:numId w:val="40"/>
        </w:numPr>
        <w:rPr>
          <w:rFonts w:ascii="Arial" w:cs="Arial" w:eastAsia="Arial" w:hAnsi="Arial"/>
          <w:sz w:val="10"/>
          <w:szCs w:val="10"/>
          <w:color w:val="auto"/>
        </w:rPr>
      </w:pPr>
      <w:r>
        <w:rPr>
          <w:rFonts w:ascii="Arial" w:cs="Arial" w:eastAsia="Arial" w:hAnsi="Arial"/>
          <w:sz w:val="10"/>
          <w:szCs w:val="10"/>
          <w:color w:val="auto"/>
        </w:rPr>
        <w:t>See Annex A, Reconciliation of Non-GAAP Items.</w:t>
      </w:r>
    </w:p>
    <w:p>
      <w:pPr>
        <w:spacing w:after="0" w:line="137" w:lineRule="exact"/>
        <w:rPr>
          <w:sz w:val="20"/>
          <w:szCs w:val="20"/>
          <w:color w:val="auto"/>
        </w:rPr>
      </w:pPr>
    </w:p>
    <w:p>
      <w:pPr>
        <w:ind w:left="7"/>
        <w:spacing w:after="0"/>
        <w:rPr>
          <w:sz w:val="20"/>
          <w:szCs w:val="20"/>
          <w:color w:val="auto"/>
        </w:rPr>
      </w:pPr>
      <w:r>
        <w:rPr>
          <w:rFonts w:ascii="Arial" w:cs="Arial" w:eastAsia="Arial" w:hAnsi="Arial"/>
          <w:sz w:val="12"/>
          <w:szCs w:val="12"/>
          <w:color w:val="auto"/>
        </w:rPr>
        <w:t>Mr. Wotring's annual incentive target and metrics remained the same throughout Fiscal Year 2020. He received an award based on the earned percentage outlined below.</w:t>
      </w:r>
    </w:p>
    <w:p>
      <w:pPr>
        <w:spacing w:after="0" w:line="142"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jc w:val="right"/>
              <w:ind w:right="351"/>
              <w:spacing w:after="0"/>
              <w:rPr>
                <w:sz w:val="20"/>
                <w:szCs w:val="20"/>
                <w:color w:val="auto"/>
              </w:rPr>
            </w:pPr>
            <w:r>
              <w:rPr>
                <w:rFonts w:ascii="Arial" w:cs="Arial" w:eastAsia="Arial" w:hAnsi="Arial"/>
                <w:sz w:val="10"/>
                <w:szCs w:val="10"/>
                <w:b w:val="1"/>
                <w:bCs w:val="1"/>
                <w:color w:val="auto"/>
              </w:rPr>
              <w:t>Weighting</w:t>
            </w:r>
          </w:p>
        </w:tc>
        <w:tc>
          <w:tcPr>
            <w:tcW w:w="920" w:type="dxa"/>
            <w:vAlign w:val="bottom"/>
            <w:gridSpan w:val="2"/>
          </w:tcPr>
          <w:p>
            <w:pPr>
              <w:jc w:val="right"/>
              <w:ind w:right="331"/>
              <w:spacing w:after="0"/>
              <w:rPr>
                <w:sz w:val="20"/>
                <w:szCs w:val="20"/>
                <w:color w:val="auto"/>
              </w:rPr>
            </w:pPr>
            <w:r>
              <w:rPr>
                <w:rFonts w:ascii="Arial" w:cs="Arial" w:eastAsia="Arial" w:hAnsi="Arial"/>
                <w:sz w:val="10"/>
                <w:szCs w:val="10"/>
                <w:b w:val="1"/>
                <w:bCs w:val="1"/>
                <w:color w:val="auto"/>
              </w:rPr>
              <w:t>Threshold</w:t>
            </w:r>
          </w:p>
        </w:tc>
        <w:tc>
          <w:tcPr>
            <w:tcW w:w="140" w:type="dxa"/>
            <w:vAlign w:val="bottom"/>
          </w:tcPr>
          <w:p>
            <w:pPr>
              <w:spacing w:after="0"/>
              <w:rPr>
                <w:sz w:val="10"/>
                <w:szCs w:val="10"/>
                <w:color w:val="auto"/>
              </w:rPr>
            </w:pPr>
          </w:p>
        </w:tc>
        <w:tc>
          <w:tcPr>
            <w:tcW w:w="800" w:type="dxa"/>
            <w:vAlign w:val="bottom"/>
          </w:tcPr>
          <w:p>
            <w:pPr>
              <w:jc w:val="right"/>
              <w:ind w:right="431"/>
              <w:spacing w:after="0"/>
              <w:rPr>
                <w:sz w:val="20"/>
                <w:szCs w:val="20"/>
                <w:color w:val="auto"/>
              </w:rPr>
            </w:pPr>
            <w:r>
              <w:rPr>
                <w:rFonts w:ascii="Arial" w:cs="Arial" w:eastAsia="Arial" w:hAnsi="Arial"/>
                <w:sz w:val="10"/>
                <w:szCs w:val="10"/>
                <w:b w:val="1"/>
                <w:bCs w:val="1"/>
                <w:color w:val="auto"/>
                <w:w w:val="98"/>
              </w:rPr>
              <w:t>Target</w:t>
            </w:r>
          </w:p>
        </w:tc>
        <w:tc>
          <w:tcPr>
            <w:tcW w:w="920" w:type="dxa"/>
            <w:vAlign w:val="bottom"/>
            <w:gridSpan w:val="2"/>
          </w:tcPr>
          <w:p>
            <w:pPr>
              <w:jc w:val="right"/>
              <w:ind w:right="331"/>
              <w:spacing w:after="0"/>
              <w:rPr>
                <w:sz w:val="20"/>
                <w:szCs w:val="20"/>
                <w:color w:val="auto"/>
              </w:rPr>
            </w:pPr>
            <w:r>
              <w:rPr>
                <w:rFonts w:ascii="Arial" w:cs="Arial" w:eastAsia="Arial" w:hAnsi="Arial"/>
                <w:sz w:val="10"/>
                <w:szCs w:val="10"/>
                <w:b w:val="1"/>
                <w:bCs w:val="1"/>
                <w:color w:val="auto"/>
              </w:rPr>
              <w:t>Maximum</w:t>
            </w:r>
          </w:p>
        </w:tc>
        <w:tc>
          <w:tcPr>
            <w:tcW w:w="100" w:type="dxa"/>
            <w:vAlign w:val="bottom"/>
          </w:tcPr>
          <w:p>
            <w:pPr>
              <w:spacing w:after="0"/>
              <w:rPr>
                <w:sz w:val="10"/>
                <w:szCs w:val="10"/>
                <w:color w:val="auto"/>
              </w:rPr>
            </w:pPr>
          </w:p>
        </w:tc>
        <w:tc>
          <w:tcPr>
            <w:tcW w:w="780" w:type="dxa"/>
            <w:vAlign w:val="bottom"/>
          </w:tcPr>
          <w:p>
            <w:pPr>
              <w:jc w:val="right"/>
              <w:ind w:right="331"/>
              <w:spacing w:after="0"/>
              <w:rPr>
                <w:sz w:val="20"/>
                <w:szCs w:val="20"/>
                <w:color w:val="auto"/>
              </w:rPr>
            </w:pPr>
            <w:r>
              <w:rPr>
                <w:rFonts w:ascii="Arial" w:cs="Arial" w:eastAsia="Arial" w:hAnsi="Arial"/>
                <w:sz w:val="10"/>
                <w:szCs w:val="10"/>
                <w:b w:val="1"/>
                <w:bCs w:val="1"/>
                <w:color w:val="auto"/>
              </w:rPr>
              <w:t>Actual</w:t>
            </w:r>
          </w:p>
        </w:tc>
        <w:tc>
          <w:tcPr>
            <w:tcW w:w="1060" w:type="dxa"/>
            <w:vAlign w:val="bottom"/>
          </w:tcPr>
          <w:p>
            <w:pPr>
              <w:jc w:val="right"/>
              <w:ind w:right="411"/>
              <w:spacing w:after="0"/>
              <w:rPr>
                <w:sz w:val="20"/>
                <w:szCs w:val="20"/>
                <w:color w:val="auto"/>
              </w:rPr>
            </w:pPr>
            <w:r>
              <w:rPr>
                <w:rFonts w:ascii="Arial" w:cs="Arial" w:eastAsia="Arial" w:hAnsi="Arial"/>
                <w:sz w:val="10"/>
                <w:szCs w:val="10"/>
                <w:b w:val="1"/>
                <w:bCs w:val="1"/>
                <w:color w:val="auto"/>
              </w:rPr>
              <w:t>Earned</w:t>
            </w:r>
          </w:p>
        </w:tc>
      </w:tr>
      <w:tr>
        <w:trPr>
          <w:trHeight w:val="118"/>
        </w:trPr>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720" w:type="dxa"/>
            <w:vAlign w:val="bottom"/>
            <w:tcBorders>
              <w:bottom w:val="single" w:sz="8" w:color="00B2E5"/>
            </w:tcBorders>
            <w:gridSpan w:val="2"/>
          </w:tcPr>
          <w:p>
            <w:pPr>
              <w:spacing w:after="0"/>
              <w:rPr>
                <w:sz w:val="20"/>
                <w:szCs w:val="20"/>
                <w:color w:val="auto"/>
              </w:rPr>
            </w:pPr>
            <w:r>
              <w:rPr>
                <w:rFonts w:ascii="Arial" w:cs="Arial" w:eastAsia="Arial" w:hAnsi="Arial"/>
                <w:sz w:val="10"/>
                <w:szCs w:val="10"/>
                <w:b w:val="1"/>
                <w:bCs w:val="1"/>
                <w:color w:val="auto"/>
              </w:rPr>
              <w:t>Randall A. Wotring</w:t>
            </w:r>
          </w:p>
        </w:tc>
        <w:tc>
          <w:tcPr>
            <w:tcW w:w="1080" w:type="dxa"/>
            <w:vAlign w:val="bottom"/>
            <w:tcBorders>
              <w:bottom w:val="single" w:sz="8" w:color="00B2E5"/>
            </w:tcBorders>
          </w:tcPr>
          <w:p>
            <w:pPr>
              <w:spacing w:after="0"/>
              <w:rPr>
                <w:sz w:val="10"/>
                <w:szCs w:val="10"/>
                <w:color w:val="auto"/>
              </w:rPr>
            </w:pPr>
          </w:p>
        </w:tc>
        <w:tc>
          <w:tcPr>
            <w:tcW w:w="960" w:type="dxa"/>
            <w:vAlign w:val="bottom"/>
            <w:tcBorders>
              <w:bottom w:val="single" w:sz="8" w:color="00B2E5"/>
            </w:tcBorders>
          </w:tcPr>
          <w:p>
            <w:pPr>
              <w:jc w:val="right"/>
              <w:ind w:right="311"/>
              <w:spacing w:after="0"/>
              <w:rPr>
                <w:sz w:val="20"/>
                <w:szCs w:val="20"/>
                <w:color w:val="auto"/>
              </w:rPr>
            </w:pPr>
            <w:r>
              <w:rPr>
                <w:rFonts w:ascii="Arial" w:cs="Arial" w:eastAsia="Arial" w:hAnsi="Arial"/>
                <w:sz w:val="10"/>
                <w:szCs w:val="10"/>
                <w:b w:val="1"/>
                <w:bCs w:val="1"/>
                <w:color w:val="auto"/>
              </w:rPr>
              <w:t>Percentage</w:t>
            </w:r>
          </w:p>
        </w:tc>
        <w:tc>
          <w:tcPr>
            <w:tcW w:w="920" w:type="dxa"/>
            <w:vAlign w:val="bottom"/>
            <w:tcBorders>
              <w:bottom w:val="single" w:sz="8" w:color="00B2E5"/>
            </w:tcBorders>
            <w:gridSpan w:val="2"/>
          </w:tcPr>
          <w:p>
            <w:pPr>
              <w:jc w:val="right"/>
              <w:ind w:right="311"/>
              <w:spacing w:after="0"/>
              <w:rPr>
                <w:sz w:val="20"/>
                <w:szCs w:val="20"/>
                <w:color w:val="auto"/>
              </w:rPr>
            </w:pPr>
            <w:r>
              <w:rPr>
                <w:rFonts w:ascii="Arial" w:cs="Arial" w:eastAsia="Arial" w:hAnsi="Arial"/>
                <w:sz w:val="10"/>
                <w:szCs w:val="10"/>
                <w:b w:val="1"/>
                <w:bCs w:val="1"/>
                <w:color w:val="auto"/>
              </w:rPr>
              <w:t>Amount($)</w:t>
            </w:r>
          </w:p>
        </w:tc>
        <w:tc>
          <w:tcPr>
            <w:tcW w:w="940" w:type="dxa"/>
            <w:vAlign w:val="bottom"/>
            <w:tcBorders>
              <w:bottom w:val="single" w:sz="8" w:color="00B2E5"/>
            </w:tcBorders>
            <w:gridSpan w:val="2"/>
          </w:tcPr>
          <w:p>
            <w:pPr>
              <w:jc w:val="right"/>
              <w:ind w:right="331"/>
              <w:spacing w:after="0"/>
              <w:rPr>
                <w:sz w:val="20"/>
                <w:szCs w:val="20"/>
                <w:color w:val="auto"/>
              </w:rPr>
            </w:pPr>
            <w:r>
              <w:rPr>
                <w:rFonts w:ascii="Arial" w:cs="Arial" w:eastAsia="Arial" w:hAnsi="Arial"/>
                <w:sz w:val="10"/>
                <w:szCs w:val="10"/>
                <w:b w:val="1"/>
                <w:bCs w:val="1"/>
                <w:color w:val="auto"/>
              </w:rPr>
              <w:t>Amount($)</w:t>
            </w:r>
          </w:p>
        </w:tc>
        <w:tc>
          <w:tcPr>
            <w:tcW w:w="920" w:type="dxa"/>
            <w:vAlign w:val="bottom"/>
            <w:tcBorders>
              <w:bottom w:val="single" w:sz="8" w:color="00B2E5"/>
            </w:tcBorders>
            <w:gridSpan w:val="2"/>
          </w:tcPr>
          <w:p>
            <w:pPr>
              <w:jc w:val="right"/>
              <w:ind w:right="311"/>
              <w:spacing w:after="0"/>
              <w:rPr>
                <w:sz w:val="20"/>
                <w:szCs w:val="20"/>
                <w:color w:val="auto"/>
              </w:rPr>
            </w:pPr>
            <w:r>
              <w:rPr>
                <w:rFonts w:ascii="Arial" w:cs="Arial" w:eastAsia="Arial" w:hAnsi="Arial"/>
                <w:sz w:val="10"/>
                <w:szCs w:val="10"/>
                <w:b w:val="1"/>
                <w:bCs w:val="1"/>
                <w:color w:val="auto"/>
              </w:rPr>
              <w:t>Amount($)</w:t>
            </w:r>
          </w:p>
        </w:tc>
        <w:tc>
          <w:tcPr>
            <w:tcW w:w="100" w:type="dxa"/>
            <w:vAlign w:val="bottom"/>
            <w:tcBorders>
              <w:bottom w:val="single" w:sz="8" w:color="00B2E5"/>
            </w:tcBorders>
          </w:tcPr>
          <w:p>
            <w:pPr>
              <w:spacing w:after="0"/>
              <w:rPr>
                <w:sz w:val="10"/>
                <w:szCs w:val="10"/>
                <w:color w:val="auto"/>
              </w:rPr>
            </w:pPr>
          </w:p>
        </w:tc>
        <w:tc>
          <w:tcPr>
            <w:tcW w:w="780" w:type="dxa"/>
            <w:vAlign w:val="bottom"/>
            <w:tcBorders>
              <w:bottom w:val="single" w:sz="8" w:color="00B2E5"/>
            </w:tcBorders>
          </w:tcPr>
          <w:p>
            <w:pPr>
              <w:jc w:val="right"/>
              <w:ind w:right="251"/>
              <w:spacing w:after="0"/>
              <w:rPr>
                <w:sz w:val="20"/>
                <w:szCs w:val="20"/>
                <w:color w:val="auto"/>
              </w:rPr>
            </w:pPr>
            <w:r>
              <w:rPr>
                <w:rFonts w:ascii="Arial" w:cs="Arial" w:eastAsia="Arial" w:hAnsi="Arial"/>
                <w:sz w:val="10"/>
                <w:szCs w:val="10"/>
                <w:b w:val="1"/>
                <w:bCs w:val="1"/>
                <w:color w:val="auto"/>
                <w:w w:val="91"/>
              </w:rPr>
              <w:t>Amount($)</w:t>
            </w:r>
          </w:p>
        </w:tc>
        <w:tc>
          <w:tcPr>
            <w:tcW w:w="1060" w:type="dxa"/>
            <w:vAlign w:val="bottom"/>
            <w:tcBorders>
              <w:bottom w:val="single" w:sz="8" w:color="00B2E5"/>
            </w:tcBorders>
          </w:tcPr>
          <w:p>
            <w:pPr>
              <w:jc w:val="right"/>
              <w:ind w:right="331"/>
              <w:spacing w:after="0"/>
              <w:rPr>
                <w:sz w:val="20"/>
                <w:szCs w:val="20"/>
                <w:color w:val="auto"/>
              </w:rPr>
            </w:pPr>
            <w:r>
              <w:rPr>
                <w:rFonts w:ascii="Arial" w:cs="Arial" w:eastAsia="Arial" w:hAnsi="Arial"/>
                <w:sz w:val="10"/>
                <w:szCs w:val="10"/>
                <w:b w:val="1"/>
                <w:bCs w:val="1"/>
                <w:color w:val="auto"/>
              </w:rPr>
              <w:t>Percentage</w:t>
            </w:r>
          </w:p>
        </w:tc>
      </w:tr>
      <w:tr>
        <w:trPr>
          <w:trHeight w:val="98"/>
        </w:trPr>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720" w:type="dxa"/>
            <w:vAlign w:val="bottom"/>
            <w:tcBorders>
              <w:bottom w:val="single" w:sz="8" w:color="00B2E5"/>
            </w:tcBorders>
            <w:gridSpan w:val="2"/>
          </w:tcPr>
          <w:p>
            <w:pPr>
              <w:spacing w:after="0" w:line="99" w:lineRule="exact"/>
              <w:rPr>
                <w:sz w:val="20"/>
                <w:szCs w:val="20"/>
                <w:color w:val="auto"/>
              </w:rPr>
            </w:pPr>
            <w:r>
              <w:rPr>
                <w:rFonts w:ascii="Arial" w:cs="Arial" w:eastAsia="Arial" w:hAnsi="Arial"/>
                <w:sz w:val="10"/>
                <w:szCs w:val="10"/>
                <w:color w:val="auto"/>
              </w:rPr>
              <w:t>Adjusted EBITDA</w:t>
            </w:r>
          </w:p>
        </w:tc>
        <w:tc>
          <w:tcPr>
            <w:tcW w:w="1080" w:type="dxa"/>
            <w:vAlign w:val="bottom"/>
            <w:tcBorders>
              <w:bottom w:val="single" w:sz="8" w:color="00B2E5"/>
              <w:right w:val="single" w:sz="8" w:color="00B2E5"/>
            </w:tcBorders>
          </w:tcPr>
          <w:p>
            <w:pPr>
              <w:spacing w:after="0"/>
              <w:rPr>
                <w:sz w:val="8"/>
                <w:szCs w:val="8"/>
                <w:color w:val="auto"/>
              </w:rPr>
            </w:pPr>
          </w:p>
        </w:tc>
        <w:tc>
          <w:tcPr>
            <w:tcW w:w="960" w:type="dxa"/>
            <w:vAlign w:val="bottom"/>
            <w:tcBorders>
              <w:bottom w:val="single" w:sz="8" w:color="00B2E5"/>
              <w:right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35%</w:t>
            </w:r>
          </w:p>
        </w:tc>
        <w:tc>
          <w:tcPr>
            <w:tcW w:w="220" w:type="dxa"/>
            <w:vAlign w:val="bottom"/>
            <w:tcBorders>
              <w:bottom w:val="single" w:sz="8" w:color="00B2E5"/>
            </w:tcBorders>
          </w:tcPr>
          <w:p>
            <w:pPr>
              <w:jc w:val="right"/>
              <w:ind w:right="71"/>
              <w:spacing w:after="0" w:line="99" w:lineRule="exact"/>
              <w:rPr>
                <w:sz w:val="20"/>
                <w:szCs w:val="20"/>
                <w:color w:val="auto"/>
              </w:rPr>
            </w:pPr>
            <w:r>
              <w:rPr>
                <w:rFonts w:ascii="Arial" w:cs="Arial" w:eastAsia="Arial" w:hAnsi="Arial"/>
                <w:sz w:val="10"/>
                <w:szCs w:val="10"/>
                <w:color w:val="auto"/>
              </w:rPr>
              <w:t>$</w:t>
            </w:r>
          </w:p>
        </w:tc>
        <w:tc>
          <w:tcPr>
            <w:tcW w:w="700" w:type="dxa"/>
            <w:vAlign w:val="bottom"/>
            <w:tcBorders>
              <w:bottom w:val="single" w:sz="8" w:color="00B2E5"/>
              <w:right w:val="single" w:sz="8" w:color="00B2E5"/>
            </w:tcBorders>
          </w:tcPr>
          <w:p>
            <w:pPr>
              <w:jc w:val="right"/>
              <w:ind w:right="291"/>
              <w:spacing w:after="0" w:line="99" w:lineRule="exact"/>
              <w:rPr>
                <w:sz w:val="20"/>
                <w:szCs w:val="20"/>
                <w:color w:val="auto"/>
              </w:rPr>
            </w:pPr>
            <w:r>
              <w:rPr>
                <w:rFonts w:ascii="Arial" w:cs="Arial" w:eastAsia="Arial" w:hAnsi="Arial"/>
                <w:sz w:val="10"/>
                <w:szCs w:val="10"/>
                <w:color w:val="auto"/>
              </w:rPr>
              <w:t>666.0</w:t>
            </w:r>
          </w:p>
        </w:tc>
        <w:tc>
          <w:tcPr>
            <w:tcW w:w="140" w:type="dxa"/>
            <w:vAlign w:val="bottom"/>
            <w:tcBorders>
              <w:bottom w:val="single" w:sz="8" w:color="00B2E5"/>
            </w:tcBorders>
          </w:tcPr>
          <w:p>
            <w:pPr>
              <w:jc w:val="right"/>
              <w:spacing w:after="0" w:line="99"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00B2E5"/>
              <w:right w:val="single" w:sz="8" w:color="00B2E5"/>
            </w:tcBorders>
          </w:tcPr>
          <w:p>
            <w:pPr>
              <w:jc w:val="right"/>
              <w:ind w:right="291"/>
              <w:spacing w:after="0" w:line="99" w:lineRule="exact"/>
              <w:rPr>
                <w:sz w:val="20"/>
                <w:szCs w:val="20"/>
                <w:color w:val="auto"/>
              </w:rPr>
            </w:pPr>
            <w:r>
              <w:rPr>
                <w:rFonts w:ascii="Arial" w:cs="Arial" w:eastAsia="Arial" w:hAnsi="Arial"/>
                <w:sz w:val="10"/>
                <w:szCs w:val="10"/>
                <w:color w:val="auto"/>
              </w:rPr>
              <w:t>740.0</w:t>
            </w:r>
          </w:p>
        </w:tc>
        <w:tc>
          <w:tcPr>
            <w:tcW w:w="220" w:type="dxa"/>
            <w:vAlign w:val="bottom"/>
            <w:tcBorders>
              <w:bottom w:val="single" w:sz="8" w:color="00B2E5"/>
            </w:tcBorders>
          </w:tcPr>
          <w:p>
            <w:pPr>
              <w:jc w:val="right"/>
              <w:ind w:right="71"/>
              <w:spacing w:after="0" w:line="99" w:lineRule="exact"/>
              <w:rPr>
                <w:sz w:val="20"/>
                <w:szCs w:val="20"/>
                <w:color w:val="auto"/>
              </w:rPr>
            </w:pPr>
            <w:r>
              <w:rPr>
                <w:rFonts w:ascii="Arial" w:cs="Arial" w:eastAsia="Arial" w:hAnsi="Arial"/>
                <w:sz w:val="10"/>
                <w:szCs w:val="10"/>
                <w:color w:val="auto"/>
              </w:rPr>
              <w:t>$</w:t>
            </w:r>
          </w:p>
        </w:tc>
        <w:tc>
          <w:tcPr>
            <w:tcW w:w="700" w:type="dxa"/>
            <w:vAlign w:val="bottom"/>
            <w:tcBorders>
              <w:bottom w:val="single" w:sz="8" w:color="00B2E5"/>
              <w:right w:val="single" w:sz="8" w:color="00B2E5"/>
            </w:tcBorders>
          </w:tcPr>
          <w:p>
            <w:pPr>
              <w:jc w:val="right"/>
              <w:ind w:right="291"/>
              <w:spacing w:after="0" w:line="99" w:lineRule="exact"/>
              <w:rPr>
                <w:sz w:val="20"/>
                <w:szCs w:val="20"/>
                <w:color w:val="auto"/>
              </w:rPr>
            </w:pPr>
            <w:r>
              <w:rPr>
                <w:rFonts w:ascii="Arial" w:cs="Arial" w:eastAsia="Arial" w:hAnsi="Arial"/>
                <w:sz w:val="10"/>
                <w:szCs w:val="10"/>
                <w:color w:val="auto"/>
              </w:rPr>
              <w:t>814.0</w:t>
            </w:r>
          </w:p>
        </w:tc>
        <w:tc>
          <w:tcPr>
            <w:tcW w:w="100" w:type="dxa"/>
            <w:vAlign w:val="bottom"/>
            <w:tcBorders>
              <w:bottom w:val="single" w:sz="8" w:color="00B2E5"/>
            </w:tcBorders>
          </w:tcPr>
          <w:p>
            <w:pPr>
              <w:jc w:val="right"/>
              <w:spacing w:after="0" w:line="99" w:lineRule="exact"/>
              <w:rPr>
                <w:sz w:val="20"/>
                <w:szCs w:val="20"/>
                <w:color w:val="auto"/>
              </w:rPr>
            </w:pPr>
            <w:r>
              <w:rPr>
                <w:rFonts w:ascii="Arial" w:cs="Arial" w:eastAsia="Arial" w:hAnsi="Arial"/>
                <w:sz w:val="10"/>
                <w:szCs w:val="10"/>
                <w:color w:val="auto"/>
              </w:rPr>
              <w:t>$</w:t>
            </w:r>
          </w:p>
        </w:tc>
        <w:tc>
          <w:tcPr>
            <w:tcW w:w="780" w:type="dxa"/>
            <w:vAlign w:val="bottom"/>
            <w:tcBorders>
              <w:bottom w:val="single" w:sz="8" w:color="00B2E5"/>
              <w:right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746.1</w:t>
            </w:r>
          </w:p>
        </w:tc>
        <w:tc>
          <w:tcPr>
            <w:tcW w:w="1060" w:type="dxa"/>
            <w:vAlign w:val="bottom"/>
            <w:tcBorders>
              <w:bottom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37.9%</w:t>
            </w:r>
          </w:p>
        </w:tc>
      </w:tr>
      <w:tr>
        <w:trPr>
          <w:trHeight w:val="98"/>
        </w:trPr>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720" w:type="dxa"/>
            <w:vAlign w:val="bottom"/>
            <w:tcBorders>
              <w:bottom w:val="single" w:sz="8" w:color="00B2E5"/>
            </w:tcBorders>
            <w:gridSpan w:val="2"/>
          </w:tcPr>
          <w:p>
            <w:pPr>
              <w:spacing w:after="0" w:line="99" w:lineRule="exact"/>
              <w:rPr>
                <w:sz w:val="20"/>
                <w:szCs w:val="20"/>
                <w:color w:val="auto"/>
              </w:rPr>
            </w:pPr>
            <w:r>
              <w:rPr>
                <w:rFonts w:ascii="Arial" w:cs="Arial" w:eastAsia="Arial" w:hAnsi="Arial"/>
                <w:sz w:val="10"/>
                <w:szCs w:val="10"/>
                <w:color w:val="auto"/>
              </w:rPr>
              <w:t>NSR Operating Margin %</w:t>
            </w:r>
          </w:p>
        </w:tc>
        <w:tc>
          <w:tcPr>
            <w:tcW w:w="1080" w:type="dxa"/>
            <w:vAlign w:val="bottom"/>
            <w:tcBorders>
              <w:bottom w:val="single" w:sz="8" w:color="00B2E5"/>
              <w:right w:val="single" w:sz="8" w:color="00B2E5"/>
            </w:tcBorders>
          </w:tcPr>
          <w:p>
            <w:pPr>
              <w:spacing w:after="0"/>
              <w:rPr>
                <w:sz w:val="8"/>
                <w:szCs w:val="8"/>
                <w:color w:val="auto"/>
              </w:rPr>
            </w:pPr>
          </w:p>
        </w:tc>
        <w:tc>
          <w:tcPr>
            <w:tcW w:w="960" w:type="dxa"/>
            <w:vAlign w:val="bottom"/>
            <w:tcBorders>
              <w:bottom w:val="single" w:sz="8" w:color="00B2E5"/>
              <w:right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35%</w:t>
            </w:r>
          </w:p>
        </w:tc>
        <w:tc>
          <w:tcPr>
            <w:tcW w:w="220" w:type="dxa"/>
            <w:vAlign w:val="bottom"/>
            <w:tcBorders>
              <w:bottom w:val="single" w:sz="8" w:color="00B2E5"/>
            </w:tcBorders>
          </w:tcPr>
          <w:p>
            <w:pPr>
              <w:spacing w:after="0"/>
              <w:rPr>
                <w:sz w:val="8"/>
                <w:szCs w:val="8"/>
                <w:color w:val="auto"/>
              </w:rPr>
            </w:pPr>
          </w:p>
        </w:tc>
        <w:tc>
          <w:tcPr>
            <w:tcW w:w="700" w:type="dxa"/>
            <w:vAlign w:val="bottom"/>
            <w:tcBorders>
              <w:bottom w:val="single" w:sz="8" w:color="00B2E5"/>
              <w:right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10.4%</w:t>
            </w:r>
          </w:p>
        </w:tc>
        <w:tc>
          <w:tcPr>
            <w:tcW w:w="140" w:type="dxa"/>
            <w:vAlign w:val="bottom"/>
            <w:tcBorders>
              <w:bottom w:val="single" w:sz="8" w:color="00B2E5"/>
            </w:tcBorders>
          </w:tcPr>
          <w:p>
            <w:pPr>
              <w:spacing w:after="0"/>
              <w:rPr>
                <w:sz w:val="8"/>
                <w:szCs w:val="8"/>
                <w:color w:val="auto"/>
              </w:rPr>
            </w:pPr>
          </w:p>
        </w:tc>
        <w:tc>
          <w:tcPr>
            <w:tcW w:w="800" w:type="dxa"/>
            <w:vAlign w:val="bottom"/>
            <w:tcBorders>
              <w:bottom w:val="single" w:sz="8" w:color="00B2E5"/>
              <w:right w:val="single" w:sz="8" w:color="00B2E5"/>
            </w:tcBorders>
          </w:tcPr>
          <w:p>
            <w:pPr>
              <w:jc w:val="right"/>
              <w:ind w:right="211"/>
              <w:spacing w:after="0" w:line="99" w:lineRule="exact"/>
              <w:rPr>
                <w:sz w:val="20"/>
                <w:szCs w:val="20"/>
                <w:color w:val="auto"/>
              </w:rPr>
            </w:pPr>
            <w:r>
              <w:rPr>
                <w:rFonts w:ascii="Arial" w:cs="Arial" w:eastAsia="Arial" w:hAnsi="Arial"/>
                <w:sz w:val="10"/>
                <w:szCs w:val="10"/>
                <w:color w:val="auto"/>
              </w:rPr>
              <w:t>11.5%</w:t>
            </w:r>
          </w:p>
        </w:tc>
        <w:tc>
          <w:tcPr>
            <w:tcW w:w="220" w:type="dxa"/>
            <w:vAlign w:val="bottom"/>
            <w:tcBorders>
              <w:bottom w:val="single" w:sz="8" w:color="00B2E5"/>
            </w:tcBorders>
          </w:tcPr>
          <w:p>
            <w:pPr>
              <w:spacing w:after="0"/>
              <w:rPr>
                <w:sz w:val="8"/>
                <w:szCs w:val="8"/>
                <w:color w:val="auto"/>
              </w:rPr>
            </w:pPr>
          </w:p>
        </w:tc>
        <w:tc>
          <w:tcPr>
            <w:tcW w:w="700" w:type="dxa"/>
            <w:vAlign w:val="bottom"/>
            <w:tcBorders>
              <w:bottom w:val="single" w:sz="8" w:color="00B2E5"/>
              <w:right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12.7%</w:t>
            </w:r>
          </w:p>
        </w:tc>
        <w:tc>
          <w:tcPr>
            <w:tcW w:w="100" w:type="dxa"/>
            <w:vAlign w:val="bottom"/>
            <w:tcBorders>
              <w:bottom w:val="single" w:sz="8" w:color="00B2E5"/>
            </w:tcBorders>
          </w:tcPr>
          <w:p>
            <w:pPr>
              <w:spacing w:after="0"/>
              <w:rPr>
                <w:sz w:val="8"/>
                <w:szCs w:val="8"/>
                <w:color w:val="auto"/>
              </w:rPr>
            </w:pPr>
          </w:p>
        </w:tc>
        <w:tc>
          <w:tcPr>
            <w:tcW w:w="780" w:type="dxa"/>
            <w:vAlign w:val="bottom"/>
            <w:tcBorders>
              <w:bottom w:val="single" w:sz="8" w:color="00B2E5"/>
              <w:right w:val="single" w:sz="8" w:color="00B2E5"/>
            </w:tcBorders>
          </w:tcPr>
          <w:p>
            <w:pPr>
              <w:jc w:val="right"/>
              <w:ind w:right="111"/>
              <w:spacing w:after="0" w:line="99" w:lineRule="exact"/>
              <w:rPr>
                <w:sz w:val="20"/>
                <w:szCs w:val="20"/>
                <w:color w:val="auto"/>
              </w:rPr>
            </w:pPr>
            <w:r>
              <w:rPr>
                <w:rFonts w:ascii="Arial" w:cs="Arial" w:eastAsia="Arial" w:hAnsi="Arial"/>
                <w:sz w:val="10"/>
                <w:szCs w:val="10"/>
                <w:color w:val="auto"/>
              </w:rPr>
              <w:t>12.3%</w:t>
            </w:r>
          </w:p>
        </w:tc>
        <w:tc>
          <w:tcPr>
            <w:tcW w:w="1060" w:type="dxa"/>
            <w:vAlign w:val="bottom"/>
            <w:tcBorders>
              <w:bottom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58.3%</w:t>
            </w:r>
          </w:p>
        </w:tc>
      </w:tr>
      <w:tr>
        <w:trPr>
          <w:trHeight w:val="98"/>
        </w:trPr>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720" w:type="dxa"/>
            <w:vAlign w:val="bottom"/>
            <w:gridSpan w:val="2"/>
          </w:tcPr>
          <w:p>
            <w:pPr>
              <w:spacing w:after="0" w:line="99" w:lineRule="exact"/>
              <w:rPr>
                <w:sz w:val="20"/>
                <w:szCs w:val="20"/>
                <w:color w:val="auto"/>
              </w:rPr>
            </w:pPr>
            <w:r>
              <w:rPr>
                <w:rFonts w:ascii="Arial" w:cs="Arial" w:eastAsia="Arial" w:hAnsi="Arial"/>
                <w:sz w:val="10"/>
                <w:szCs w:val="10"/>
                <w:color w:val="auto"/>
              </w:rPr>
              <w:t>KPIs</w:t>
            </w:r>
          </w:p>
        </w:tc>
        <w:tc>
          <w:tcPr>
            <w:tcW w:w="1080" w:type="dxa"/>
            <w:vAlign w:val="bottom"/>
            <w:tcBorders>
              <w:right w:val="single" w:sz="8" w:color="00B2E5"/>
            </w:tcBorders>
          </w:tcPr>
          <w:p>
            <w:pPr>
              <w:spacing w:after="0"/>
              <w:rPr>
                <w:sz w:val="8"/>
                <w:szCs w:val="8"/>
                <w:color w:val="auto"/>
              </w:rPr>
            </w:pPr>
          </w:p>
        </w:tc>
        <w:tc>
          <w:tcPr>
            <w:tcW w:w="960" w:type="dxa"/>
            <w:vAlign w:val="bottom"/>
            <w:tcBorders>
              <w:right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30%</w:t>
            </w:r>
          </w:p>
        </w:tc>
        <w:tc>
          <w:tcPr>
            <w:tcW w:w="220" w:type="dxa"/>
            <w:vAlign w:val="bottom"/>
            <w:shd w:val="clear" w:color="auto" w:fill="90D1F1"/>
          </w:tcPr>
          <w:p>
            <w:pPr>
              <w:spacing w:after="0"/>
              <w:rPr>
                <w:sz w:val="8"/>
                <w:szCs w:val="8"/>
                <w:color w:val="auto"/>
              </w:rPr>
            </w:pPr>
          </w:p>
        </w:tc>
        <w:tc>
          <w:tcPr>
            <w:tcW w:w="700" w:type="dxa"/>
            <w:vAlign w:val="bottom"/>
            <w:tcBorders>
              <w:right w:val="single" w:sz="8" w:color="90D1F1"/>
            </w:tcBorders>
            <w:shd w:val="clear" w:color="auto" w:fill="90D1F1"/>
          </w:tcPr>
          <w:p>
            <w:pPr>
              <w:spacing w:after="0"/>
              <w:rPr>
                <w:sz w:val="8"/>
                <w:szCs w:val="8"/>
                <w:color w:val="auto"/>
              </w:rPr>
            </w:pPr>
          </w:p>
        </w:tc>
        <w:tc>
          <w:tcPr>
            <w:tcW w:w="140" w:type="dxa"/>
            <w:vAlign w:val="bottom"/>
            <w:shd w:val="clear" w:color="auto" w:fill="90D1F1"/>
          </w:tcPr>
          <w:p>
            <w:pPr>
              <w:spacing w:after="0"/>
              <w:rPr>
                <w:sz w:val="8"/>
                <w:szCs w:val="8"/>
                <w:color w:val="auto"/>
              </w:rPr>
            </w:pPr>
          </w:p>
        </w:tc>
        <w:tc>
          <w:tcPr>
            <w:tcW w:w="800" w:type="dxa"/>
            <w:vAlign w:val="bottom"/>
            <w:tcBorders>
              <w:right w:val="single" w:sz="8" w:color="90D1F1"/>
            </w:tcBorders>
            <w:shd w:val="clear" w:color="auto" w:fill="90D1F1"/>
          </w:tcPr>
          <w:p>
            <w:pPr>
              <w:spacing w:after="0"/>
              <w:rPr>
                <w:sz w:val="8"/>
                <w:szCs w:val="8"/>
                <w:color w:val="auto"/>
              </w:rPr>
            </w:pPr>
          </w:p>
        </w:tc>
        <w:tc>
          <w:tcPr>
            <w:tcW w:w="220" w:type="dxa"/>
            <w:vAlign w:val="bottom"/>
            <w:shd w:val="clear" w:color="auto" w:fill="90D1F1"/>
          </w:tcPr>
          <w:p>
            <w:pPr>
              <w:spacing w:after="0"/>
              <w:rPr>
                <w:sz w:val="8"/>
                <w:szCs w:val="8"/>
                <w:color w:val="auto"/>
              </w:rPr>
            </w:pPr>
          </w:p>
        </w:tc>
        <w:tc>
          <w:tcPr>
            <w:tcW w:w="700" w:type="dxa"/>
            <w:vAlign w:val="bottom"/>
            <w:tcBorders>
              <w:right w:val="single" w:sz="8" w:color="90D1F1"/>
            </w:tcBorders>
            <w:shd w:val="clear" w:color="auto" w:fill="90D1F1"/>
          </w:tcPr>
          <w:p>
            <w:pPr>
              <w:spacing w:after="0"/>
              <w:rPr>
                <w:sz w:val="8"/>
                <w:szCs w:val="8"/>
                <w:color w:val="auto"/>
              </w:rPr>
            </w:pPr>
          </w:p>
        </w:tc>
        <w:tc>
          <w:tcPr>
            <w:tcW w:w="100" w:type="dxa"/>
            <w:vAlign w:val="bottom"/>
            <w:shd w:val="clear" w:color="auto" w:fill="90D1F1"/>
          </w:tcPr>
          <w:p>
            <w:pPr>
              <w:spacing w:after="0"/>
              <w:rPr>
                <w:sz w:val="8"/>
                <w:szCs w:val="8"/>
                <w:color w:val="auto"/>
              </w:rPr>
            </w:pPr>
          </w:p>
        </w:tc>
        <w:tc>
          <w:tcPr>
            <w:tcW w:w="780" w:type="dxa"/>
            <w:vAlign w:val="bottom"/>
            <w:tcBorders>
              <w:right w:val="single" w:sz="8" w:color="00B2E5"/>
            </w:tcBorders>
            <w:shd w:val="clear" w:color="auto" w:fill="90D1F1"/>
          </w:tcPr>
          <w:p>
            <w:pPr>
              <w:spacing w:after="0"/>
              <w:rPr>
                <w:sz w:val="8"/>
                <w:szCs w:val="8"/>
                <w:color w:val="auto"/>
              </w:rPr>
            </w:pPr>
          </w:p>
        </w:tc>
        <w:tc>
          <w:tcPr>
            <w:tcW w:w="1060" w:type="dxa"/>
            <w:vAlign w:val="bottom"/>
          </w:tcPr>
          <w:p>
            <w:pPr>
              <w:jc w:val="right"/>
              <w:ind w:right="191"/>
              <w:spacing w:after="0" w:line="99" w:lineRule="exact"/>
              <w:rPr>
                <w:sz w:val="20"/>
                <w:szCs w:val="20"/>
                <w:color w:val="auto"/>
              </w:rPr>
            </w:pPr>
            <w:r>
              <w:rPr>
                <w:rFonts w:ascii="Arial" w:cs="Arial" w:eastAsia="Arial" w:hAnsi="Arial"/>
                <w:sz w:val="10"/>
                <w:szCs w:val="10"/>
                <w:color w:val="auto"/>
              </w:rPr>
              <w:t>30.0%</w:t>
            </w:r>
          </w:p>
        </w:tc>
      </w:tr>
      <w:tr>
        <w:trPr>
          <w:trHeight w:val="98"/>
        </w:trPr>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tcBorders>
              <w:top w:val="single" w:sz="8" w:color="00B2E5"/>
              <w:bottom w:val="single" w:sz="8" w:color="00B2E5"/>
            </w:tcBorders>
          </w:tcPr>
          <w:p>
            <w:pPr>
              <w:spacing w:after="0" w:line="99" w:lineRule="exact"/>
              <w:rPr>
                <w:sz w:val="20"/>
                <w:szCs w:val="20"/>
                <w:color w:val="auto"/>
              </w:rPr>
            </w:pPr>
            <w:r>
              <w:rPr>
                <w:rFonts w:ascii="Arial" w:cs="Arial" w:eastAsia="Arial" w:hAnsi="Arial"/>
                <w:sz w:val="10"/>
                <w:szCs w:val="10"/>
                <w:b w:val="1"/>
                <w:bCs w:val="1"/>
                <w:color w:val="auto"/>
              </w:rPr>
              <w:t>Total</w:t>
            </w:r>
          </w:p>
        </w:tc>
        <w:tc>
          <w:tcPr>
            <w:tcW w:w="1080" w:type="dxa"/>
            <w:vAlign w:val="bottom"/>
            <w:tcBorders>
              <w:top w:val="single" w:sz="8" w:color="00B2E5"/>
              <w:bottom w:val="single" w:sz="8" w:color="00B2E5"/>
              <w:right w:val="single" w:sz="8" w:color="00B2E5"/>
            </w:tcBorders>
          </w:tcPr>
          <w:p>
            <w:pPr>
              <w:spacing w:after="0"/>
              <w:rPr>
                <w:sz w:val="8"/>
                <w:szCs w:val="8"/>
                <w:color w:val="auto"/>
              </w:rPr>
            </w:pPr>
          </w:p>
        </w:tc>
        <w:tc>
          <w:tcPr>
            <w:tcW w:w="96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220" w:type="dxa"/>
            <w:vAlign w:val="bottom"/>
            <w:tcBorders>
              <w:top w:val="single" w:sz="8" w:color="00B2E5"/>
              <w:bottom w:val="single" w:sz="8" w:color="00B2E5"/>
            </w:tcBorders>
            <w:shd w:val="clear" w:color="auto" w:fill="90D1F1"/>
          </w:tcPr>
          <w:p>
            <w:pPr>
              <w:spacing w:after="0"/>
              <w:rPr>
                <w:sz w:val="8"/>
                <w:szCs w:val="8"/>
                <w:color w:val="auto"/>
              </w:rPr>
            </w:pPr>
          </w:p>
        </w:tc>
        <w:tc>
          <w:tcPr>
            <w:tcW w:w="70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140" w:type="dxa"/>
            <w:vAlign w:val="bottom"/>
            <w:tcBorders>
              <w:top w:val="single" w:sz="8" w:color="00B2E5"/>
              <w:bottom w:val="single" w:sz="8" w:color="00B2E5"/>
            </w:tcBorders>
            <w:shd w:val="clear" w:color="auto" w:fill="90D1F1"/>
          </w:tcPr>
          <w:p>
            <w:pPr>
              <w:spacing w:after="0"/>
              <w:rPr>
                <w:sz w:val="8"/>
                <w:szCs w:val="8"/>
                <w:color w:val="auto"/>
              </w:rPr>
            </w:pPr>
          </w:p>
        </w:tc>
        <w:tc>
          <w:tcPr>
            <w:tcW w:w="80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220" w:type="dxa"/>
            <w:vAlign w:val="bottom"/>
            <w:tcBorders>
              <w:top w:val="single" w:sz="8" w:color="00B2E5"/>
              <w:bottom w:val="single" w:sz="8" w:color="00B2E5"/>
            </w:tcBorders>
            <w:shd w:val="clear" w:color="auto" w:fill="90D1F1"/>
          </w:tcPr>
          <w:p>
            <w:pPr>
              <w:spacing w:after="0"/>
              <w:rPr>
                <w:sz w:val="8"/>
                <w:szCs w:val="8"/>
                <w:color w:val="auto"/>
              </w:rPr>
            </w:pPr>
          </w:p>
        </w:tc>
        <w:tc>
          <w:tcPr>
            <w:tcW w:w="700" w:type="dxa"/>
            <w:vAlign w:val="bottom"/>
            <w:tcBorders>
              <w:top w:val="single" w:sz="8" w:color="00B2E5"/>
              <w:bottom w:val="single" w:sz="8" w:color="00B2E5"/>
              <w:right w:val="single" w:sz="8" w:color="90D1F1"/>
            </w:tcBorders>
            <w:shd w:val="clear" w:color="auto" w:fill="90D1F1"/>
          </w:tcPr>
          <w:p>
            <w:pPr>
              <w:spacing w:after="0"/>
              <w:rPr>
                <w:sz w:val="8"/>
                <w:szCs w:val="8"/>
                <w:color w:val="auto"/>
              </w:rPr>
            </w:pPr>
          </w:p>
        </w:tc>
        <w:tc>
          <w:tcPr>
            <w:tcW w:w="100" w:type="dxa"/>
            <w:vAlign w:val="bottom"/>
            <w:tcBorders>
              <w:top w:val="single" w:sz="8" w:color="00B2E5"/>
              <w:bottom w:val="single" w:sz="8" w:color="00B2E5"/>
            </w:tcBorders>
            <w:shd w:val="clear" w:color="auto" w:fill="90D1F1"/>
          </w:tcPr>
          <w:p>
            <w:pPr>
              <w:spacing w:after="0"/>
              <w:rPr>
                <w:sz w:val="8"/>
                <w:szCs w:val="8"/>
                <w:color w:val="auto"/>
              </w:rPr>
            </w:pPr>
          </w:p>
        </w:tc>
        <w:tc>
          <w:tcPr>
            <w:tcW w:w="780" w:type="dxa"/>
            <w:vAlign w:val="bottom"/>
            <w:tcBorders>
              <w:top w:val="single" w:sz="8" w:color="00B2E5"/>
              <w:bottom w:val="single" w:sz="8" w:color="00B2E5"/>
              <w:right w:val="single" w:sz="8" w:color="00B2E5"/>
            </w:tcBorders>
            <w:shd w:val="clear" w:color="auto" w:fill="90D1F1"/>
          </w:tcPr>
          <w:p>
            <w:pPr>
              <w:spacing w:after="0"/>
              <w:rPr>
                <w:sz w:val="8"/>
                <w:szCs w:val="8"/>
                <w:color w:val="auto"/>
              </w:rPr>
            </w:pPr>
          </w:p>
        </w:tc>
        <w:tc>
          <w:tcPr>
            <w:tcW w:w="1060" w:type="dxa"/>
            <w:vAlign w:val="bottom"/>
            <w:tcBorders>
              <w:top w:val="single" w:sz="8" w:color="00B2E5"/>
              <w:bottom w:val="single" w:sz="8" w:color="00B2E5"/>
            </w:tcBorders>
          </w:tcPr>
          <w:p>
            <w:pPr>
              <w:jc w:val="right"/>
              <w:ind w:right="191"/>
              <w:spacing w:after="0" w:line="99" w:lineRule="exact"/>
              <w:rPr>
                <w:sz w:val="20"/>
                <w:szCs w:val="20"/>
                <w:color w:val="auto"/>
              </w:rPr>
            </w:pPr>
            <w:r>
              <w:rPr>
                <w:rFonts w:ascii="Arial" w:cs="Arial" w:eastAsia="Arial" w:hAnsi="Arial"/>
                <w:sz w:val="10"/>
                <w:szCs w:val="10"/>
                <w:color w:val="auto"/>
              </w:rPr>
              <w:t>126.2%</w:t>
            </w:r>
          </w:p>
        </w:tc>
      </w:tr>
      <w:tr>
        <w:trPr>
          <w:trHeight w:val="62"/>
        </w:trPr>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56"/>
        </w:trPr>
        <w:tc>
          <w:tcPr>
            <w:tcW w:w="200" w:type="dxa"/>
            <w:vAlign w:val="bottom"/>
          </w:tcPr>
          <w:p>
            <w:pPr>
              <w:jc w:val="right"/>
              <w:ind w:right="124"/>
              <w:spacing w:after="0"/>
              <w:rPr>
                <w:sz w:val="20"/>
                <w:szCs w:val="20"/>
                <w:color w:val="auto"/>
              </w:rPr>
            </w:pPr>
            <w:r>
              <w:rPr>
                <w:rFonts w:ascii="Arial" w:cs="Arial" w:eastAsia="Arial" w:hAnsi="Arial"/>
                <w:sz w:val="7"/>
                <w:szCs w:val="7"/>
                <w:color w:val="auto"/>
                <w:w w:val="71"/>
              </w:rPr>
              <w:t>*</w:t>
            </w:r>
          </w:p>
        </w:tc>
        <w:tc>
          <w:tcPr>
            <w:tcW w:w="2860" w:type="dxa"/>
            <w:vAlign w:val="bottom"/>
            <w:gridSpan w:val="3"/>
          </w:tcPr>
          <w:p>
            <w:pPr>
              <w:ind w:left="160"/>
              <w:spacing w:after="0"/>
              <w:rPr>
                <w:sz w:val="20"/>
                <w:szCs w:val="20"/>
                <w:color w:val="auto"/>
              </w:rPr>
            </w:pPr>
            <w:r>
              <w:rPr>
                <w:rFonts w:ascii="Arial" w:cs="Arial" w:eastAsia="Arial" w:hAnsi="Arial"/>
                <w:sz w:val="10"/>
                <w:szCs w:val="10"/>
                <w:color w:val="auto"/>
              </w:rPr>
              <w:t>See Annex A, Reconciliation of Non-GAAP Items</w:t>
            </w:r>
          </w:p>
        </w:tc>
        <w:tc>
          <w:tcPr>
            <w:tcW w:w="10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60" w:type="dxa"/>
            <w:vAlign w:val="bottom"/>
          </w:tcPr>
          <w:p>
            <w:pPr>
              <w:spacing w:after="0"/>
              <w:rPr>
                <w:sz w:val="22"/>
                <w:szCs w:val="22"/>
                <w:color w:val="auto"/>
              </w:rPr>
            </w:pPr>
          </w:p>
        </w:tc>
      </w:tr>
    </w:tbl>
    <w:p>
      <w:pPr>
        <w:spacing w:after="0" w:line="120"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00B2E5"/>
        </w:rPr>
        <w:t>Key Performance Indicator ("KPI") Assessment</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2"/>
          <w:szCs w:val="12"/>
          <w:color w:val="auto"/>
        </w:rPr>
        <w:t>With respect to each of our NEOs, the KPI assessment focuses on the individual's contributions to strategic objectives that are part of the Company's strategic plan.</w:t>
      </w:r>
    </w:p>
    <w:p>
      <w:pPr>
        <w:spacing w:after="0" w:line="145" w:lineRule="exact"/>
        <w:rPr>
          <w:sz w:val="20"/>
          <w:szCs w:val="20"/>
          <w:color w:val="auto"/>
        </w:rPr>
      </w:pPr>
    </w:p>
    <w:p>
      <w:pPr>
        <w:ind w:left="5587"/>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83755" cy="18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166"/>
          </w:cols>
          <w:pgMar w:left="293" w:top="128" w:right="1440" w:bottom="1440" w:gutter="0" w:footer="0" w:header="0"/>
        </w:sectPr>
      </w:pPr>
    </w:p>
    <w:bookmarkStart w:id="76" w:name="page77"/>
    <w:bookmarkEnd w:id="76"/>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40" w:type="dxa"/>
            <w:vAlign w:val="bottom"/>
            <w:tcBorders>
              <w:bottom w:val="single" w:sz="8" w:color="00B2E5"/>
            </w:tcBorders>
            <w:shd w:val="clear" w:color="auto" w:fill="07B3E7"/>
          </w:tcPr>
          <w:p>
            <w:pPr>
              <w:spacing w:after="0"/>
              <w:rPr>
                <w:sz w:val="20"/>
                <w:szCs w:val="20"/>
                <w:color w:val="auto"/>
              </w:rPr>
            </w:pPr>
            <w:r>
              <w:rPr>
                <w:rFonts w:ascii="Arial" w:cs="Arial" w:eastAsia="Arial" w:hAnsi="Arial"/>
                <w:sz w:val="10"/>
                <w:szCs w:val="10"/>
                <w:b w:val="1"/>
                <w:bCs w:val="1"/>
                <w:color w:val="FFFFFE"/>
              </w:rPr>
              <w:t>NEOs</w:t>
            </w:r>
          </w:p>
        </w:tc>
        <w:tc>
          <w:tcPr>
            <w:tcW w:w="10060" w:type="dxa"/>
            <w:vAlign w:val="bottom"/>
            <w:tcBorders>
              <w:bottom w:val="single" w:sz="8" w:color="00B2E5"/>
            </w:tcBorders>
            <w:shd w:val="clear" w:color="auto" w:fill="07B3E7"/>
          </w:tcPr>
          <w:p>
            <w:pPr>
              <w:ind w:left="520"/>
              <w:spacing w:after="0"/>
              <w:rPr>
                <w:sz w:val="20"/>
                <w:szCs w:val="20"/>
                <w:color w:val="auto"/>
              </w:rPr>
            </w:pPr>
            <w:r>
              <w:rPr>
                <w:rFonts w:ascii="Arial" w:cs="Arial" w:eastAsia="Arial" w:hAnsi="Arial"/>
                <w:sz w:val="10"/>
                <w:szCs w:val="10"/>
                <w:b w:val="1"/>
                <w:bCs w:val="1"/>
                <w:color w:val="FFFFFE"/>
              </w:rPr>
              <w:t>Achievements</w:t>
            </w:r>
          </w:p>
        </w:tc>
      </w:tr>
      <w:tr>
        <w:trPr>
          <w:trHeight w:val="123"/>
        </w:trPr>
        <w:tc>
          <w:tcPr>
            <w:tcW w:w="1240" w:type="dxa"/>
            <w:vAlign w:val="bottom"/>
          </w:tcPr>
          <w:p>
            <w:pPr>
              <w:spacing w:after="0" w:line="124" w:lineRule="exact"/>
              <w:rPr>
                <w:sz w:val="20"/>
                <w:szCs w:val="20"/>
                <w:color w:val="auto"/>
              </w:rPr>
            </w:pPr>
            <w:r>
              <w:rPr>
                <w:rFonts w:ascii="Arial" w:cs="Arial" w:eastAsia="Arial" w:hAnsi="Arial"/>
                <w:sz w:val="12"/>
                <w:szCs w:val="12"/>
                <w:color w:val="auto"/>
              </w:rPr>
              <w:t>W. Troy Rudd</w:t>
            </w:r>
          </w:p>
        </w:tc>
        <w:tc>
          <w:tcPr>
            <w:tcW w:w="10060" w:type="dxa"/>
            <w:vAlign w:val="bottom"/>
          </w:tcPr>
          <w:p>
            <w:pPr>
              <w:ind w:left="520"/>
              <w:spacing w:after="0" w:line="124" w:lineRule="exact"/>
              <w:rPr>
                <w:sz w:val="20"/>
                <w:szCs w:val="20"/>
                <w:color w:val="auto"/>
              </w:rPr>
            </w:pPr>
            <w:r>
              <w:rPr>
                <w:rFonts w:ascii="Arial" w:cs="Arial" w:eastAsia="Arial" w:hAnsi="Arial"/>
                <w:sz w:val="12"/>
                <w:szCs w:val="12"/>
                <w:b w:val="1"/>
                <w:bCs w:val="1"/>
                <w:color w:val="auto"/>
                <w:w w:val="98"/>
              </w:rPr>
              <w:t xml:space="preserve">Delivery of Company Financial Plan: </w:t>
            </w:r>
            <w:r>
              <w:rPr>
                <w:rFonts w:ascii="Arial" w:cs="Arial" w:eastAsia="Arial" w:hAnsi="Arial"/>
                <w:sz w:val="12"/>
                <w:szCs w:val="12"/>
                <w:color w:val="auto"/>
                <w:w w:val="98"/>
              </w:rPr>
              <w:t>Adjusted EBITDA and Free Cash Flow exceeded the high-end of the Company's guidance, and NSR Adjusted Operating Margin exceeded the</w:t>
            </w:r>
          </w:p>
        </w:tc>
      </w:tr>
      <w:tr>
        <w:trPr>
          <w:trHeight w:val="159"/>
        </w:trPr>
        <w:tc>
          <w:tcPr>
            <w:tcW w:w="1240" w:type="dxa"/>
            <w:vAlign w:val="bottom"/>
          </w:tcPr>
          <w:p>
            <w:pPr>
              <w:spacing w:after="0"/>
              <w:rPr>
                <w:sz w:val="13"/>
                <w:szCs w:val="13"/>
                <w:color w:val="auto"/>
              </w:rPr>
            </w:pPr>
          </w:p>
        </w:tc>
        <w:tc>
          <w:tcPr>
            <w:tcW w:w="10060" w:type="dxa"/>
            <w:vAlign w:val="bottom"/>
          </w:tcPr>
          <w:p>
            <w:pPr>
              <w:ind w:left="520"/>
              <w:spacing w:after="0"/>
              <w:rPr>
                <w:sz w:val="20"/>
                <w:szCs w:val="20"/>
                <w:color w:val="auto"/>
              </w:rPr>
            </w:pPr>
            <w:r>
              <w:rPr>
                <w:rFonts w:ascii="Arial" w:cs="Arial" w:eastAsia="Arial" w:hAnsi="Arial"/>
                <w:sz w:val="12"/>
                <w:szCs w:val="12"/>
                <w:color w:val="auto"/>
              </w:rPr>
              <w:t>midpoint of the Company's guidance. This financial success was driven by our transformation into a higher-margin and lower-risk professional services organization.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-191135</wp:posOffset>
            </wp:positionV>
            <wp:extent cx="7176770" cy="23729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770" cy="2372995"/>
                    </a:xfrm>
                    <a:prstGeom prst="rect">
                      <a:avLst/>
                    </a:prstGeom>
                    <a:noFill/>
                  </pic:spPr>
                </pic:pic>
              </a:graphicData>
            </a:graphic>
          </wp:anchor>
        </w:drawing>
      </w:r>
    </w:p>
    <w:p>
      <w:pPr>
        <w:spacing w:after="0" w:line="120" w:lineRule="exact"/>
        <w:rPr>
          <w:sz w:val="20"/>
          <w:szCs w:val="20"/>
          <w:color w:val="auto"/>
        </w:rPr>
      </w:pPr>
    </w:p>
    <w:p>
      <w:pPr>
        <w:ind w:left="1760"/>
        <w:spacing w:after="0"/>
        <w:rPr>
          <w:sz w:val="20"/>
          <w:szCs w:val="20"/>
          <w:color w:val="auto"/>
        </w:rPr>
      </w:pPr>
      <w:r>
        <w:rPr>
          <w:rFonts w:ascii="Arial" w:cs="Arial" w:eastAsia="Arial" w:hAnsi="Arial"/>
          <w:sz w:val="12"/>
          <w:szCs w:val="12"/>
          <w:b w:val="1"/>
          <w:bCs w:val="1"/>
          <w:color w:val="auto"/>
        </w:rPr>
        <w:t>Execution of the Capital Allocation Policy:</w:t>
      </w:r>
    </w:p>
    <w:p>
      <w:pPr>
        <w:spacing w:after="0" w:line="6"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Repurchased $455 million or 10.4 million shares through November 2020</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The Company's Board of Directors increased the existing repurchase authorization by $695 million to $1 billion in November 2020.</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Substantially reduced our debt and leverage with proceeds from the sale of our Management Services business</w:t>
      </w:r>
    </w:p>
    <w:p>
      <w:pPr>
        <w:spacing w:after="0" w:line="165" w:lineRule="exact"/>
        <w:rPr>
          <w:sz w:val="20"/>
          <w:szCs w:val="20"/>
          <w:color w:val="auto"/>
        </w:rPr>
      </w:pPr>
    </w:p>
    <w:p>
      <w:pPr>
        <w:ind w:left="1760"/>
        <w:spacing w:after="0"/>
        <w:rPr>
          <w:sz w:val="20"/>
          <w:szCs w:val="20"/>
          <w:color w:val="auto"/>
        </w:rPr>
      </w:pPr>
      <w:r>
        <w:rPr>
          <w:rFonts w:ascii="Arial" w:cs="Arial" w:eastAsia="Arial" w:hAnsi="Arial"/>
          <w:sz w:val="12"/>
          <w:szCs w:val="12"/>
          <w:b w:val="1"/>
          <w:bCs w:val="1"/>
          <w:color w:val="auto"/>
        </w:rPr>
        <w:t>Safety:</w:t>
      </w:r>
    </w:p>
    <w:p>
      <w:pPr>
        <w:spacing w:after="0" w:line="6"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Lowest recordable injuries and lost workdays since 2015</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Effective management and mitigation of the COVID-19 pandemic (including scenario planning, preemptive impact mitigations, and health and safety planning)</w:t>
      </w:r>
    </w:p>
    <w:p>
      <w:pPr>
        <w:spacing w:after="0" w:line="165" w:lineRule="exact"/>
        <w:rPr>
          <w:sz w:val="20"/>
          <w:szCs w:val="20"/>
          <w:color w:val="auto"/>
        </w:rPr>
      </w:pPr>
    </w:p>
    <w:p>
      <w:pPr>
        <w:ind w:left="1760"/>
        <w:spacing w:after="0"/>
        <w:rPr>
          <w:sz w:val="20"/>
          <w:szCs w:val="20"/>
          <w:color w:val="auto"/>
        </w:rPr>
      </w:pPr>
      <w:r>
        <w:rPr>
          <w:rFonts w:ascii="Arial" w:cs="Arial" w:eastAsia="Arial" w:hAnsi="Arial"/>
          <w:sz w:val="12"/>
          <w:szCs w:val="12"/>
          <w:b w:val="1"/>
          <w:bCs w:val="1"/>
          <w:color w:val="auto"/>
        </w:rPr>
        <w:t>New Leadership Team and Enterprise Strategy:</w:t>
      </w:r>
    </w:p>
    <w:p>
      <w:pPr>
        <w:spacing w:after="0" w:line="6"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Implemented a cultural shift that places Equity, Diversity &amp; Inclusion and Environment, Social and Governance (ESG) efforts at forefront of enterprise strategy</w:t>
      </w:r>
    </w:p>
    <w:p>
      <w:pPr>
        <w:spacing w:after="0" w:line="7" w:lineRule="exact"/>
        <w:rPr>
          <w:sz w:val="20"/>
          <w:szCs w:val="20"/>
          <w:color w:val="auto"/>
        </w:rPr>
      </w:pPr>
    </w:p>
    <w:p>
      <w:pPr>
        <w:ind w:left="1980" w:right="20" w:hanging="219"/>
        <w:spacing w:after="0" w:line="245" w:lineRule="auto"/>
        <w:rPr>
          <w:sz w:val="20"/>
          <w:szCs w:val="20"/>
          <w:color w:val="auto"/>
        </w:rPr>
      </w:pPr>
      <w:r>
        <w:rPr>
          <w:rFonts w:ascii="Arial" w:cs="Arial" w:eastAsia="Arial" w:hAnsi="Arial"/>
          <w:sz w:val="12"/>
          <w:szCs w:val="12"/>
          <w:color w:val="auto"/>
        </w:rPr>
        <w:t>– Development, recruitment, and launch of new Executive Leadership Team globally, including restructuring of the DCS business into a single operating group that enhances collaboration, creates direct lines of accountability, and simplifies the organization to enhance agility.</w:t>
      </w:r>
    </w:p>
    <w:tbl>
      <w:tblPr>
        <w:tblLayout w:type="fixed"/>
        <w:tblInd w:w="0" w:type="dxa"/>
        <w:tblCellMar>
          <w:top w:w="0" w:type="dxa"/>
          <w:left w:w="0" w:type="dxa"/>
          <w:bottom w:w="0" w:type="dxa"/>
          <w:right w:w="0" w:type="dxa"/>
        </w:tblCellMar>
      </w:tblPr>
      <w:tr>
        <w:trPr>
          <w:trHeight w:val="124"/>
        </w:trPr>
        <w:tc>
          <w:tcPr>
            <w:tcW w:w="1360" w:type="dxa"/>
            <w:vAlign w:val="bottom"/>
          </w:tcPr>
          <w:p>
            <w:pPr>
              <w:spacing w:after="0" w:line="124" w:lineRule="exact"/>
              <w:rPr>
                <w:sz w:val="20"/>
                <w:szCs w:val="20"/>
                <w:color w:val="auto"/>
              </w:rPr>
            </w:pPr>
            <w:r>
              <w:rPr>
                <w:rFonts w:ascii="Arial" w:cs="Arial" w:eastAsia="Arial" w:hAnsi="Arial"/>
                <w:sz w:val="12"/>
                <w:szCs w:val="12"/>
                <w:color w:val="auto"/>
              </w:rPr>
              <w:t>Lara Poloni</w:t>
            </w:r>
          </w:p>
        </w:tc>
        <w:tc>
          <w:tcPr>
            <w:tcW w:w="9940" w:type="dxa"/>
            <w:vAlign w:val="bottom"/>
          </w:tcPr>
          <w:p>
            <w:pPr>
              <w:ind w:left="400"/>
              <w:spacing w:after="0" w:line="124" w:lineRule="exact"/>
              <w:rPr>
                <w:sz w:val="20"/>
                <w:szCs w:val="20"/>
                <w:color w:val="auto"/>
              </w:rPr>
            </w:pPr>
            <w:r>
              <w:rPr>
                <w:rFonts w:ascii="Arial" w:cs="Arial" w:eastAsia="Arial" w:hAnsi="Arial"/>
                <w:sz w:val="12"/>
                <w:szCs w:val="12"/>
                <w:color w:val="auto"/>
              </w:rPr>
              <w:t>Led the restructuring of the EMEA business to focus on higher margin and higher growth markets, including market penetration in the Middle East. Oversaw year over year margin</w:t>
            </w:r>
          </w:p>
        </w:tc>
      </w:tr>
      <w:tr>
        <w:trPr>
          <w:trHeight w:val="137"/>
        </w:trPr>
        <w:tc>
          <w:tcPr>
            <w:tcW w:w="1360" w:type="dxa"/>
            <w:vAlign w:val="bottom"/>
          </w:tcPr>
          <w:p>
            <w:pPr>
              <w:spacing w:after="0"/>
              <w:rPr>
                <w:sz w:val="11"/>
                <w:szCs w:val="11"/>
                <w:color w:val="auto"/>
              </w:rPr>
            </w:pPr>
          </w:p>
        </w:tc>
        <w:tc>
          <w:tcPr>
            <w:tcW w:w="9940" w:type="dxa"/>
            <w:vAlign w:val="bottom"/>
          </w:tcPr>
          <w:p>
            <w:pPr>
              <w:ind w:left="400"/>
              <w:spacing w:after="0" w:line="137" w:lineRule="exact"/>
              <w:rPr>
                <w:sz w:val="20"/>
                <w:szCs w:val="20"/>
                <w:color w:val="auto"/>
              </w:rPr>
            </w:pPr>
            <w:r>
              <w:rPr>
                <w:rFonts w:ascii="Arial" w:cs="Arial" w:eastAsia="Arial" w:hAnsi="Arial"/>
                <w:sz w:val="12"/>
                <w:szCs w:val="12"/>
                <w:color w:val="auto"/>
                <w:w w:val="99"/>
              </w:rPr>
              <w:t>improvement in EMEA despite impacts of the pandemic, laying down a strong foundation with a trajectory for continued improvements regardless of market challenges. Successfully</w:t>
            </w:r>
          </w:p>
        </w:tc>
      </w:tr>
      <w:tr>
        <w:trPr>
          <w:trHeight w:val="137"/>
        </w:trPr>
        <w:tc>
          <w:tcPr>
            <w:tcW w:w="1360" w:type="dxa"/>
            <w:vAlign w:val="bottom"/>
          </w:tcPr>
          <w:p>
            <w:pPr>
              <w:spacing w:after="0"/>
              <w:rPr>
                <w:sz w:val="11"/>
                <w:szCs w:val="11"/>
                <w:color w:val="auto"/>
              </w:rPr>
            </w:pPr>
          </w:p>
        </w:tc>
        <w:tc>
          <w:tcPr>
            <w:tcW w:w="9940" w:type="dxa"/>
            <w:vAlign w:val="bottom"/>
          </w:tcPr>
          <w:p>
            <w:pPr>
              <w:ind w:left="400"/>
              <w:spacing w:after="0" w:line="137" w:lineRule="exact"/>
              <w:rPr>
                <w:sz w:val="20"/>
                <w:szCs w:val="20"/>
                <w:color w:val="auto"/>
              </w:rPr>
            </w:pPr>
            <w:r>
              <w:rPr>
                <w:rFonts w:ascii="Arial" w:cs="Arial" w:eastAsia="Arial" w:hAnsi="Arial"/>
                <w:sz w:val="12"/>
                <w:szCs w:val="12"/>
                <w:color w:val="auto"/>
              </w:rPr>
              <w:t>restored transportation market positions in the UK that had been previously lost. Developed a strong EMEA leadership team and a culture of collaboration. Developed and began</w:t>
            </w:r>
          </w:p>
        </w:tc>
      </w:tr>
      <w:tr>
        <w:trPr>
          <w:trHeight w:val="149"/>
        </w:trPr>
        <w:tc>
          <w:tcPr>
            <w:tcW w:w="1360" w:type="dxa"/>
            <w:vAlign w:val="bottom"/>
            <w:tcBorders>
              <w:bottom w:val="single" w:sz="8" w:color="00B2E5"/>
            </w:tcBorders>
          </w:tcPr>
          <w:p>
            <w:pPr>
              <w:spacing w:after="0"/>
              <w:rPr>
                <w:sz w:val="12"/>
                <w:szCs w:val="12"/>
                <w:color w:val="auto"/>
              </w:rPr>
            </w:pPr>
          </w:p>
        </w:tc>
        <w:tc>
          <w:tcPr>
            <w:tcW w:w="9940" w:type="dxa"/>
            <w:vAlign w:val="bottom"/>
            <w:tcBorders>
              <w:bottom w:val="single" w:sz="8" w:color="00B2E5"/>
            </w:tcBorders>
          </w:tcPr>
          <w:p>
            <w:pPr>
              <w:ind w:left="400"/>
              <w:spacing w:after="0"/>
              <w:rPr>
                <w:sz w:val="20"/>
                <w:szCs w:val="20"/>
                <w:color w:val="auto"/>
              </w:rPr>
            </w:pPr>
            <w:r>
              <w:rPr>
                <w:rFonts w:ascii="Arial" w:cs="Arial" w:eastAsia="Arial" w:hAnsi="Arial"/>
                <w:sz w:val="12"/>
                <w:szCs w:val="12"/>
                <w:color w:val="auto"/>
              </w:rPr>
              <w:t>implementation of a restructuring of the entire DCS business.</w:t>
            </w:r>
          </w:p>
        </w:tc>
      </w:tr>
      <w:tr>
        <w:trPr>
          <w:trHeight w:val="114"/>
        </w:trPr>
        <w:tc>
          <w:tcPr>
            <w:tcW w:w="1360" w:type="dxa"/>
            <w:vAlign w:val="bottom"/>
          </w:tcPr>
          <w:p>
            <w:pPr>
              <w:spacing w:after="0" w:line="114" w:lineRule="exact"/>
              <w:rPr>
                <w:sz w:val="20"/>
                <w:szCs w:val="20"/>
                <w:color w:val="auto"/>
              </w:rPr>
            </w:pPr>
            <w:r>
              <w:rPr>
                <w:rFonts w:ascii="Arial" w:cs="Arial" w:eastAsia="Arial" w:hAnsi="Arial"/>
                <w:sz w:val="12"/>
                <w:szCs w:val="12"/>
                <w:color w:val="auto"/>
              </w:rPr>
              <w:t>Gaurav Kapoor</w:t>
            </w:r>
          </w:p>
        </w:tc>
        <w:tc>
          <w:tcPr>
            <w:tcW w:w="9940" w:type="dxa"/>
            <w:vAlign w:val="bottom"/>
          </w:tcPr>
          <w:p>
            <w:pPr>
              <w:ind w:left="400"/>
              <w:spacing w:after="0" w:line="114" w:lineRule="exact"/>
              <w:rPr>
                <w:sz w:val="20"/>
                <w:szCs w:val="20"/>
                <w:color w:val="auto"/>
              </w:rPr>
            </w:pPr>
            <w:r>
              <w:rPr>
                <w:rFonts w:ascii="Arial" w:cs="Arial" w:eastAsia="Arial" w:hAnsi="Arial"/>
                <w:sz w:val="12"/>
                <w:szCs w:val="12"/>
                <w:color w:val="auto"/>
                <w:w w:val="99"/>
              </w:rPr>
              <w:t>Successfully executed $455M of share repurchases through November 2020, delivering on Fiscal Year 2020 capital allocation commitments made to investors. Oversaw the Global</w:t>
            </w:r>
          </w:p>
        </w:tc>
      </w:tr>
      <w:tr>
        <w:trPr>
          <w:trHeight w:val="137"/>
        </w:trPr>
        <w:tc>
          <w:tcPr>
            <w:tcW w:w="1360" w:type="dxa"/>
            <w:vAlign w:val="bottom"/>
          </w:tcPr>
          <w:p>
            <w:pPr>
              <w:spacing w:after="0"/>
              <w:rPr>
                <w:sz w:val="11"/>
                <w:szCs w:val="11"/>
                <w:color w:val="auto"/>
              </w:rPr>
            </w:pPr>
          </w:p>
        </w:tc>
        <w:tc>
          <w:tcPr>
            <w:tcW w:w="9940" w:type="dxa"/>
            <w:vAlign w:val="bottom"/>
          </w:tcPr>
          <w:p>
            <w:pPr>
              <w:ind w:left="400"/>
              <w:spacing w:after="0" w:line="137" w:lineRule="exact"/>
              <w:rPr>
                <w:sz w:val="20"/>
                <w:szCs w:val="20"/>
                <w:color w:val="auto"/>
              </w:rPr>
            </w:pPr>
            <w:r>
              <w:rPr>
                <w:rFonts w:ascii="Arial" w:cs="Arial" w:eastAsia="Arial" w:hAnsi="Arial"/>
                <w:sz w:val="12"/>
                <w:szCs w:val="12"/>
                <w:color w:val="auto"/>
                <w:w w:val="99"/>
              </w:rPr>
              <w:t>Business Services' transformation to achieve all key financial metrics at the high end of the range for Fiscal Year 2020. Eliminated $53M of stranded costs following the Management</w:t>
            </w:r>
          </w:p>
        </w:tc>
      </w:tr>
      <w:tr>
        <w:trPr>
          <w:trHeight w:val="149"/>
        </w:trPr>
        <w:tc>
          <w:tcPr>
            <w:tcW w:w="1360" w:type="dxa"/>
            <w:vAlign w:val="bottom"/>
            <w:tcBorders>
              <w:bottom w:val="single" w:sz="8" w:color="00B2E5"/>
            </w:tcBorders>
          </w:tcPr>
          <w:p>
            <w:pPr>
              <w:spacing w:after="0"/>
              <w:rPr>
                <w:sz w:val="12"/>
                <w:szCs w:val="12"/>
                <w:color w:val="auto"/>
              </w:rPr>
            </w:pPr>
          </w:p>
        </w:tc>
        <w:tc>
          <w:tcPr>
            <w:tcW w:w="9940" w:type="dxa"/>
            <w:vAlign w:val="bottom"/>
            <w:tcBorders>
              <w:bottom w:val="single" w:sz="8" w:color="00B2E5"/>
            </w:tcBorders>
          </w:tcPr>
          <w:p>
            <w:pPr>
              <w:ind w:left="400"/>
              <w:spacing w:after="0"/>
              <w:rPr>
                <w:sz w:val="20"/>
                <w:szCs w:val="20"/>
                <w:color w:val="auto"/>
              </w:rPr>
            </w:pPr>
            <w:r>
              <w:rPr>
                <w:rFonts w:ascii="Arial" w:cs="Arial" w:eastAsia="Arial" w:hAnsi="Arial"/>
                <w:sz w:val="12"/>
                <w:szCs w:val="12"/>
                <w:color w:val="auto"/>
              </w:rPr>
              <w:t>Services transaction. Executed the Fiscal Year 2020 global real estate consolidation resulting in over 1.1 million square feet of real estate offices being restructured.</w:t>
            </w:r>
          </w:p>
        </w:tc>
      </w:tr>
      <w:tr>
        <w:trPr>
          <w:trHeight w:val="114"/>
        </w:trPr>
        <w:tc>
          <w:tcPr>
            <w:tcW w:w="1360" w:type="dxa"/>
            <w:vAlign w:val="bottom"/>
          </w:tcPr>
          <w:p>
            <w:pPr>
              <w:spacing w:after="0" w:line="114" w:lineRule="exact"/>
              <w:rPr>
                <w:sz w:val="20"/>
                <w:szCs w:val="20"/>
                <w:color w:val="auto"/>
              </w:rPr>
            </w:pPr>
            <w:r>
              <w:rPr>
                <w:rFonts w:ascii="Arial" w:cs="Arial" w:eastAsia="Arial" w:hAnsi="Arial"/>
                <w:sz w:val="12"/>
                <w:szCs w:val="12"/>
                <w:color w:val="auto"/>
              </w:rPr>
              <w:t>Randall A. Wotring</w:t>
            </w:r>
          </w:p>
        </w:tc>
        <w:tc>
          <w:tcPr>
            <w:tcW w:w="9940" w:type="dxa"/>
            <w:vAlign w:val="bottom"/>
          </w:tcPr>
          <w:p>
            <w:pPr>
              <w:ind w:left="400"/>
              <w:spacing w:after="0" w:line="114" w:lineRule="exact"/>
              <w:rPr>
                <w:sz w:val="20"/>
                <w:szCs w:val="20"/>
                <w:color w:val="auto"/>
              </w:rPr>
            </w:pPr>
            <w:r>
              <w:rPr>
                <w:rFonts w:ascii="Arial" w:cs="Arial" w:eastAsia="Arial" w:hAnsi="Arial"/>
                <w:sz w:val="12"/>
                <w:szCs w:val="12"/>
                <w:color w:val="auto"/>
              </w:rPr>
              <w:t>Led year over year improvement in employee engagement score as well as total retention and retention outstanding ratings. Exceeded Fiscal Year 2020 plan for hours and cost</w:t>
            </w:r>
          </w:p>
        </w:tc>
      </w:tr>
      <w:tr>
        <w:trPr>
          <w:trHeight w:val="137"/>
        </w:trPr>
        <w:tc>
          <w:tcPr>
            <w:tcW w:w="1360" w:type="dxa"/>
            <w:vAlign w:val="bottom"/>
          </w:tcPr>
          <w:p>
            <w:pPr>
              <w:spacing w:after="0"/>
              <w:rPr>
                <w:sz w:val="11"/>
                <w:szCs w:val="11"/>
                <w:color w:val="auto"/>
              </w:rPr>
            </w:pPr>
          </w:p>
        </w:tc>
        <w:tc>
          <w:tcPr>
            <w:tcW w:w="9940" w:type="dxa"/>
            <w:vAlign w:val="bottom"/>
          </w:tcPr>
          <w:p>
            <w:pPr>
              <w:ind w:left="400"/>
              <w:spacing w:after="0" w:line="137" w:lineRule="exact"/>
              <w:rPr>
                <w:sz w:val="20"/>
                <w:szCs w:val="20"/>
                <w:color w:val="auto"/>
              </w:rPr>
            </w:pPr>
            <w:r>
              <w:rPr>
                <w:rFonts w:ascii="Arial" w:cs="Arial" w:eastAsia="Arial" w:hAnsi="Arial"/>
                <w:sz w:val="12"/>
                <w:szCs w:val="12"/>
                <w:color w:val="auto"/>
              </w:rPr>
              <w:t>benefit of the Global Delivery Services strategy and vision. Supported two-year planning cycle by driving best-in-class margin across operating groups, meeting plan margin</w:t>
            </w:r>
          </w:p>
        </w:tc>
      </w:tr>
      <w:tr>
        <w:trPr>
          <w:trHeight w:val="149"/>
        </w:trPr>
        <w:tc>
          <w:tcPr>
            <w:tcW w:w="1360" w:type="dxa"/>
            <w:vAlign w:val="bottom"/>
            <w:tcBorders>
              <w:bottom w:val="single" w:sz="8" w:color="00B2E5"/>
            </w:tcBorders>
          </w:tcPr>
          <w:p>
            <w:pPr>
              <w:spacing w:after="0"/>
              <w:rPr>
                <w:sz w:val="12"/>
                <w:szCs w:val="12"/>
                <w:color w:val="auto"/>
              </w:rPr>
            </w:pPr>
          </w:p>
        </w:tc>
        <w:tc>
          <w:tcPr>
            <w:tcW w:w="9940" w:type="dxa"/>
            <w:vAlign w:val="bottom"/>
            <w:tcBorders>
              <w:bottom w:val="single" w:sz="8" w:color="00B2E5"/>
            </w:tcBorders>
          </w:tcPr>
          <w:p>
            <w:pPr>
              <w:ind w:left="400"/>
              <w:spacing w:after="0"/>
              <w:rPr>
                <w:sz w:val="20"/>
                <w:szCs w:val="20"/>
                <w:color w:val="auto"/>
              </w:rPr>
            </w:pPr>
            <w:r>
              <w:rPr>
                <w:rFonts w:ascii="Arial" w:cs="Arial" w:eastAsia="Arial" w:hAnsi="Arial"/>
                <w:sz w:val="12"/>
                <w:szCs w:val="12"/>
                <w:color w:val="auto"/>
              </w:rPr>
              <w:t>percentage and stranded cost targets. Provided critical leadership in connection with the exit of our at-risk construction businesses.</w:t>
            </w:r>
          </w:p>
        </w:tc>
      </w:tr>
      <w:tr>
        <w:trPr>
          <w:trHeight w:val="282"/>
        </w:trPr>
        <w:tc>
          <w:tcPr>
            <w:tcW w:w="1360" w:type="dxa"/>
            <w:vAlign w:val="bottom"/>
          </w:tcPr>
          <w:p>
            <w:pPr>
              <w:spacing w:after="0"/>
              <w:rPr>
                <w:sz w:val="24"/>
                <w:szCs w:val="24"/>
                <w:color w:val="auto"/>
              </w:rPr>
            </w:pPr>
          </w:p>
        </w:tc>
        <w:tc>
          <w:tcPr>
            <w:tcW w:w="9940" w:type="dxa"/>
            <w:vAlign w:val="bottom"/>
          </w:tcPr>
          <w:p>
            <w:pPr>
              <w:ind w:left="4220"/>
              <w:spacing w:after="0"/>
              <w:rPr>
                <w:sz w:val="20"/>
                <w:szCs w:val="20"/>
                <w:color w:val="auto"/>
              </w:rPr>
            </w:pPr>
            <w:r>
              <w:rPr>
                <w:rFonts w:ascii="Arial" w:cs="Arial" w:eastAsia="Arial" w:hAnsi="Arial"/>
                <w:sz w:val="12"/>
                <w:szCs w:val="12"/>
                <w:color w:val="auto"/>
              </w:rPr>
              <w:t>53</w:t>
            </w:r>
          </w:p>
        </w:tc>
      </w:tr>
      <w:tr>
        <w:trPr>
          <w:trHeight w:val="139"/>
        </w:trPr>
        <w:tc>
          <w:tcPr>
            <w:tcW w:w="1360" w:type="dxa"/>
            <w:vAlign w:val="bottom"/>
            <w:tcBorders>
              <w:bottom w:val="single" w:sz="8" w:color="808080"/>
            </w:tcBorders>
          </w:tcPr>
          <w:p>
            <w:pPr>
              <w:spacing w:after="0"/>
              <w:rPr>
                <w:sz w:val="12"/>
                <w:szCs w:val="12"/>
                <w:color w:val="auto"/>
              </w:rPr>
            </w:pPr>
          </w:p>
        </w:tc>
        <w:tc>
          <w:tcPr>
            <w:tcW w:w="99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7163435</wp:posOffset>
            </wp:positionH>
            <wp:positionV relativeFrom="paragraph">
              <wp:posOffset>-11430</wp:posOffset>
            </wp:positionV>
            <wp:extent cx="1270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7" w:name="page78"/>
    <w:bookmarkEnd w:id="77"/>
    <w:p>
      <w:pPr>
        <w:ind w:left="7"/>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3"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00B2E5"/>
        </w:rPr>
        <w:t>Fiscal Year 2021 Annual Incentives Design</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2"/>
          <w:szCs w:val="12"/>
          <w:color w:val="auto"/>
        </w:rPr>
        <w:t>In response to stockholder feedback and efforts to align our incentives with our long-term strategy, the Compensation Committee adopted the following Fiscal Year 2021 performance metrics for our NEOs:</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18"/>
        </w:trPr>
        <w:tc>
          <w:tcPr>
            <w:tcW w:w="2420" w:type="dxa"/>
            <w:vAlign w:val="bottom"/>
            <w:tcBorders>
              <w:bottom w:val="single" w:sz="8" w:color="00B2E5"/>
            </w:tcBorders>
          </w:tcPr>
          <w:p>
            <w:pPr>
              <w:spacing w:after="0"/>
              <w:rPr>
                <w:sz w:val="10"/>
                <w:szCs w:val="10"/>
                <w:color w:val="auto"/>
              </w:rPr>
            </w:pPr>
          </w:p>
        </w:tc>
        <w:tc>
          <w:tcPr>
            <w:tcW w:w="2360" w:type="dxa"/>
            <w:vAlign w:val="bottom"/>
            <w:tcBorders>
              <w:bottom w:val="single" w:sz="8" w:color="00B2E5"/>
            </w:tcBorders>
            <w:gridSpan w:val="2"/>
          </w:tcPr>
          <w:p>
            <w:pPr>
              <w:ind w:left="1000"/>
              <w:spacing w:after="0"/>
              <w:rPr>
                <w:sz w:val="20"/>
                <w:szCs w:val="20"/>
                <w:color w:val="auto"/>
              </w:rPr>
            </w:pPr>
            <w:r>
              <w:rPr>
                <w:rFonts w:ascii="Arial" w:cs="Arial" w:eastAsia="Arial" w:hAnsi="Arial"/>
                <w:sz w:val="10"/>
                <w:szCs w:val="10"/>
                <w:b w:val="1"/>
                <w:bCs w:val="1"/>
                <w:color w:val="auto"/>
              </w:rPr>
              <w:t>2020</w:t>
            </w:r>
          </w:p>
        </w:tc>
        <w:tc>
          <w:tcPr>
            <w:tcW w:w="2360" w:type="dxa"/>
            <w:vAlign w:val="bottom"/>
            <w:tcBorders>
              <w:bottom w:val="single" w:sz="8" w:color="00B2E5"/>
            </w:tcBorders>
          </w:tcPr>
          <w:p>
            <w:pPr>
              <w:ind w:left="1000"/>
              <w:spacing w:after="0"/>
              <w:rPr>
                <w:sz w:val="20"/>
                <w:szCs w:val="20"/>
                <w:color w:val="auto"/>
              </w:rPr>
            </w:pPr>
            <w:r>
              <w:rPr>
                <w:rFonts w:ascii="Arial" w:cs="Arial" w:eastAsia="Arial" w:hAnsi="Arial"/>
                <w:sz w:val="10"/>
                <w:szCs w:val="10"/>
                <w:b w:val="1"/>
                <w:bCs w:val="1"/>
                <w:color w:val="auto"/>
              </w:rPr>
              <w:t>2021</w:t>
            </w:r>
          </w:p>
        </w:tc>
        <w:tc>
          <w:tcPr>
            <w:tcW w:w="4160" w:type="dxa"/>
            <w:vAlign w:val="bottom"/>
            <w:tcBorders>
              <w:bottom w:val="single" w:sz="8" w:color="00B2E5"/>
            </w:tcBorders>
          </w:tcPr>
          <w:p>
            <w:pPr>
              <w:ind w:left="1900"/>
              <w:spacing w:after="0"/>
              <w:rPr>
                <w:sz w:val="20"/>
                <w:szCs w:val="20"/>
                <w:color w:val="auto"/>
              </w:rPr>
            </w:pPr>
            <w:r>
              <w:rPr>
                <w:rFonts w:ascii="Arial" w:cs="Arial" w:eastAsia="Arial" w:hAnsi="Arial"/>
                <w:sz w:val="10"/>
                <w:szCs w:val="10"/>
                <w:b w:val="1"/>
                <w:bCs w:val="1"/>
                <w:color w:val="auto"/>
              </w:rPr>
              <w:t>Rationale</w:t>
            </w:r>
          </w:p>
        </w:tc>
        <w:tc>
          <w:tcPr>
            <w:tcW w:w="0" w:type="dxa"/>
            <w:vAlign w:val="bottom"/>
          </w:tcPr>
          <w:p>
            <w:pPr>
              <w:spacing w:after="0"/>
              <w:rPr>
                <w:sz w:val="1"/>
                <w:szCs w:val="1"/>
                <w:color w:val="auto"/>
              </w:rPr>
            </w:pPr>
          </w:p>
        </w:tc>
      </w:tr>
      <w:tr>
        <w:trPr>
          <w:trHeight w:val="135"/>
        </w:trPr>
        <w:tc>
          <w:tcPr>
            <w:tcW w:w="2420" w:type="dxa"/>
            <w:vAlign w:val="bottom"/>
            <w:tcBorders>
              <w:right w:val="single" w:sz="8" w:color="00B2E5"/>
            </w:tcBorders>
          </w:tcPr>
          <w:p>
            <w:pPr>
              <w:spacing w:after="0" w:line="135" w:lineRule="exact"/>
              <w:rPr>
                <w:sz w:val="20"/>
                <w:szCs w:val="20"/>
                <w:color w:val="auto"/>
              </w:rPr>
            </w:pPr>
            <w:r>
              <w:rPr>
                <w:rFonts w:ascii="Arial" w:cs="Arial" w:eastAsia="Arial" w:hAnsi="Arial"/>
                <w:sz w:val="12"/>
                <w:szCs w:val="12"/>
                <w:b w:val="1"/>
                <w:bCs w:val="1"/>
                <w:color w:val="auto"/>
              </w:rPr>
              <w:t>Corporate Performance Metrics</w:t>
            </w:r>
          </w:p>
        </w:tc>
        <w:tc>
          <w:tcPr>
            <w:tcW w:w="2360" w:type="dxa"/>
            <w:vAlign w:val="bottom"/>
            <w:tcBorders>
              <w:right w:val="single" w:sz="8" w:color="00B2E5"/>
            </w:tcBorders>
            <w:gridSpan w:val="2"/>
          </w:tcPr>
          <w:p>
            <w:pPr>
              <w:ind w:left="80"/>
              <w:spacing w:after="0" w:line="135" w:lineRule="exact"/>
              <w:rPr>
                <w:sz w:val="20"/>
                <w:szCs w:val="20"/>
                <w:color w:val="auto"/>
              </w:rPr>
            </w:pPr>
            <w:r>
              <w:rPr>
                <w:rFonts w:ascii="Arial" w:cs="Arial" w:eastAsia="Arial" w:hAnsi="Arial"/>
                <w:sz w:val="10"/>
                <w:szCs w:val="10"/>
                <w:color w:val="auto"/>
              </w:rPr>
              <w:t>Professional Services</w:t>
            </w:r>
            <w:r>
              <w:rPr>
                <w:rFonts w:ascii="Arial" w:cs="Arial" w:eastAsia="Arial" w:hAnsi="Arial"/>
                <w:sz w:val="15"/>
                <w:szCs w:val="15"/>
                <w:color w:val="auto"/>
                <w:vertAlign w:val="superscript"/>
              </w:rPr>
              <w:t>1</w:t>
            </w:r>
            <w:r>
              <w:rPr>
                <w:rFonts w:ascii="Arial" w:cs="Arial" w:eastAsia="Arial" w:hAnsi="Arial"/>
                <w:sz w:val="10"/>
                <w:szCs w:val="10"/>
                <w:color w:val="auto"/>
              </w:rPr>
              <w:t xml:space="preserve"> Adjusted</w:t>
            </w:r>
          </w:p>
        </w:tc>
        <w:tc>
          <w:tcPr>
            <w:tcW w:w="2360" w:type="dxa"/>
            <w:vAlign w:val="bottom"/>
            <w:tcBorders>
              <w:right w:val="single" w:sz="8" w:color="00B2E5"/>
            </w:tcBorders>
          </w:tcPr>
          <w:p>
            <w:pPr>
              <w:ind w:left="80"/>
              <w:spacing w:after="0" w:line="135" w:lineRule="exact"/>
              <w:rPr>
                <w:sz w:val="20"/>
                <w:szCs w:val="20"/>
                <w:color w:val="auto"/>
              </w:rPr>
            </w:pPr>
            <w:r>
              <w:rPr>
                <w:rFonts w:ascii="Arial" w:cs="Arial" w:eastAsia="Arial" w:hAnsi="Arial"/>
                <w:sz w:val="10"/>
                <w:szCs w:val="10"/>
                <w:color w:val="auto"/>
              </w:rPr>
              <w:t>Professional Services</w:t>
            </w:r>
            <w:r>
              <w:rPr>
                <w:rFonts w:ascii="Arial" w:cs="Arial" w:eastAsia="Arial" w:hAnsi="Arial"/>
                <w:sz w:val="15"/>
                <w:szCs w:val="15"/>
                <w:color w:val="auto"/>
                <w:vertAlign w:val="superscript"/>
              </w:rPr>
              <w:t>1</w:t>
            </w:r>
            <w:r>
              <w:rPr>
                <w:rFonts w:ascii="Arial" w:cs="Arial" w:eastAsia="Arial" w:hAnsi="Arial"/>
                <w:sz w:val="10"/>
                <w:szCs w:val="10"/>
                <w:color w:val="auto"/>
              </w:rPr>
              <w:t xml:space="preserve"> Adjusted</w:t>
            </w:r>
          </w:p>
        </w:tc>
        <w:tc>
          <w:tcPr>
            <w:tcW w:w="4160" w:type="dxa"/>
            <w:vAlign w:val="bottom"/>
          </w:tcPr>
          <w:p>
            <w:pPr>
              <w:ind w:left="100"/>
              <w:spacing w:after="0" w:line="135" w:lineRule="exact"/>
              <w:rPr>
                <w:sz w:val="20"/>
                <w:szCs w:val="20"/>
                <w:color w:val="auto"/>
              </w:rPr>
            </w:pPr>
            <w:r>
              <w:rPr>
                <w:rFonts w:ascii="Arial" w:cs="Arial" w:eastAsia="Arial" w:hAnsi="Arial"/>
                <w:sz w:val="12"/>
                <w:szCs w:val="12"/>
                <w:color w:val="auto"/>
              </w:rPr>
              <w:t>–   Responsive to stockholder feedback to focus incentives on the metrics</w:t>
            </w:r>
          </w:p>
        </w:tc>
        <w:tc>
          <w:tcPr>
            <w:tcW w:w="0" w:type="dxa"/>
            <w:vAlign w:val="bottom"/>
          </w:tcPr>
          <w:p>
            <w:pPr>
              <w:spacing w:after="0"/>
              <w:rPr>
                <w:sz w:val="1"/>
                <w:szCs w:val="1"/>
                <w:color w:val="auto"/>
              </w:rPr>
            </w:pPr>
          </w:p>
        </w:tc>
      </w:tr>
      <w:tr>
        <w:trPr>
          <w:trHeight w:val="252"/>
        </w:trPr>
        <w:tc>
          <w:tcPr>
            <w:tcW w:w="2420" w:type="dxa"/>
            <w:vAlign w:val="bottom"/>
            <w:tcBorders>
              <w:right w:val="single" w:sz="8" w:color="00B2E5"/>
            </w:tcBorders>
          </w:tcPr>
          <w:p>
            <w:pPr>
              <w:spacing w:after="0"/>
              <w:rPr>
                <w:sz w:val="21"/>
                <w:szCs w:val="21"/>
                <w:color w:val="auto"/>
              </w:rPr>
            </w:pPr>
          </w:p>
        </w:tc>
        <w:tc>
          <w:tcPr>
            <w:tcW w:w="2360" w:type="dxa"/>
            <w:vAlign w:val="bottom"/>
            <w:tcBorders>
              <w:right w:val="single" w:sz="8" w:color="00B2E5"/>
            </w:tcBorders>
            <w:gridSpan w:val="2"/>
          </w:tcPr>
          <w:p>
            <w:pPr>
              <w:ind w:left="80"/>
              <w:spacing w:after="0"/>
              <w:rPr>
                <w:sz w:val="20"/>
                <w:szCs w:val="20"/>
                <w:color w:val="auto"/>
              </w:rPr>
            </w:pPr>
            <w:r>
              <w:rPr>
                <w:rFonts w:ascii="Arial" w:cs="Arial" w:eastAsia="Arial" w:hAnsi="Arial"/>
                <w:sz w:val="12"/>
                <w:szCs w:val="12"/>
                <w:color w:val="auto"/>
              </w:rPr>
              <w:t>EBITDA</w:t>
            </w:r>
            <w:r>
              <w:rPr>
                <w:rFonts w:ascii="Arial" w:cs="Arial" w:eastAsia="Arial" w:hAnsi="Arial"/>
                <w:sz w:val="19"/>
                <w:szCs w:val="19"/>
                <w:color w:val="auto"/>
                <w:vertAlign w:val="superscript"/>
              </w:rPr>
              <w:t>2</w:t>
            </w:r>
          </w:p>
        </w:tc>
        <w:tc>
          <w:tcPr>
            <w:tcW w:w="2360" w:type="dxa"/>
            <w:vAlign w:val="bottom"/>
            <w:tcBorders>
              <w:right w:val="single" w:sz="8" w:color="00B2E5"/>
            </w:tcBorders>
          </w:tcPr>
          <w:p>
            <w:pPr>
              <w:ind w:left="80"/>
              <w:spacing w:after="0"/>
              <w:rPr>
                <w:sz w:val="20"/>
                <w:szCs w:val="20"/>
                <w:color w:val="auto"/>
              </w:rPr>
            </w:pPr>
            <w:r>
              <w:rPr>
                <w:rFonts w:ascii="Arial" w:cs="Arial" w:eastAsia="Arial" w:hAnsi="Arial"/>
                <w:sz w:val="12"/>
                <w:szCs w:val="12"/>
                <w:color w:val="auto"/>
              </w:rPr>
              <w:t>EBITDA</w:t>
            </w:r>
            <w:r>
              <w:rPr>
                <w:rFonts w:ascii="Arial" w:cs="Arial" w:eastAsia="Arial" w:hAnsi="Arial"/>
                <w:sz w:val="19"/>
                <w:szCs w:val="19"/>
                <w:color w:val="auto"/>
                <w:vertAlign w:val="superscript"/>
              </w:rPr>
              <w:t>2</w:t>
            </w:r>
          </w:p>
        </w:tc>
        <w:tc>
          <w:tcPr>
            <w:tcW w:w="4160" w:type="dxa"/>
            <w:vAlign w:val="bottom"/>
          </w:tcPr>
          <w:p>
            <w:pPr>
              <w:ind w:left="300"/>
              <w:spacing w:after="0"/>
              <w:rPr>
                <w:sz w:val="20"/>
                <w:szCs w:val="20"/>
                <w:color w:val="auto"/>
              </w:rPr>
            </w:pPr>
            <w:r>
              <w:rPr>
                <w:rFonts w:ascii="Arial" w:cs="Arial" w:eastAsia="Arial" w:hAnsi="Arial"/>
                <w:sz w:val="12"/>
                <w:szCs w:val="12"/>
                <w:color w:val="auto"/>
              </w:rPr>
              <w:t>on which investors measure short term financial performance</w:t>
            </w:r>
          </w:p>
        </w:tc>
        <w:tc>
          <w:tcPr>
            <w:tcW w:w="0" w:type="dxa"/>
            <w:vAlign w:val="bottom"/>
          </w:tcPr>
          <w:p>
            <w:pPr>
              <w:spacing w:after="0"/>
              <w:rPr>
                <w:sz w:val="1"/>
                <w:szCs w:val="1"/>
                <w:color w:val="auto"/>
              </w:rPr>
            </w:pPr>
          </w:p>
        </w:tc>
      </w:tr>
      <w:tr>
        <w:trPr>
          <w:trHeight w:val="168"/>
        </w:trPr>
        <w:tc>
          <w:tcPr>
            <w:tcW w:w="2420" w:type="dxa"/>
            <w:vAlign w:val="bottom"/>
            <w:tcBorders>
              <w:right w:val="single" w:sz="8" w:color="00B2E5"/>
            </w:tcBorders>
          </w:tcPr>
          <w:p>
            <w:pPr>
              <w:spacing w:after="0"/>
              <w:rPr>
                <w:sz w:val="14"/>
                <w:szCs w:val="14"/>
                <w:color w:val="auto"/>
              </w:rPr>
            </w:pPr>
          </w:p>
        </w:tc>
        <w:tc>
          <w:tcPr>
            <w:tcW w:w="2360" w:type="dxa"/>
            <w:vAlign w:val="bottom"/>
            <w:tcBorders>
              <w:right w:val="single" w:sz="8" w:color="00B2E5"/>
            </w:tcBorders>
            <w:gridSpan w:val="2"/>
            <w:vMerge w:val="restart"/>
          </w:tcPr>
          <w:p>
            <w:pPr>
              <w:ind w:left="80"/>
              <w:spacing w:after="0"/>
              <w:rPr>
                <w:sz w:val="20"/>
                <w:szCs w:val="20"/>
                <w:color w:val="auto"/>
              </w:rPr>
            </w:pPr>
            <w:r>
              <w:rPr>
                <w:rFonts w:ascii="Arial" w:cs="Arial" w:eastAsia="Arial" w:hAnsi="Arial"/>
                <w:sz w:val="12"/>
                <w:szCs w:val="12"/>
                <w:color w:val="auto"/>
              </w:rPr>
              <w:t>Professional Services</w:t>
            </w:r>
            <w:r>
              <w:rPr>
                <w:rFonts w:ascii="Arial" w:cs="Arial" w:eastAsia="Arial" w:hAnsi="Arial"/>
                <w:sz w:val="19"/>
                <w:szCs w:val="19"/>
                <w:color w:val="auto"/>
                <w:vertAlign w:val="superscript"/>
              </w:rPr>
              <w:t>1</w:t>
            </w:r>
            <w:r>
              <w:rPr>
                <w:rFonts w:ascii="Arial" w:cs="Arial" w:eastAsia="Arial" w:hAnsi="Arial"/>
                <w:sz w:val="12"/>
                <w:szCs w:val="12"/>
                <w:color w:val="auto"/>
              </w:rPr>
              <w:t xml:space="preserve"> Adjusted NSR</w:t>
            </w:r>
          </w:p>
        </w:tc>
        <w:tc>
          <w:tcPr>
            <w:tcW w:w="2360" w:type="dxa"/>
            <w:vAlign w:val="bottom"/>
            <w:tcBorders>
              <w:right w:val="single" w:sz="8" w:color="00B2E5"/>
            </w:tcBorders>
            <w:vMerge w:val="restart"/>
          </w:tcPr>
          <w:p>
            <w:pPr>
              <w:ind w:left="80"/>
              <w:spacing w:after="0"/>
              <w:rPr>
                <w:sz w:val="20"/>
                <w:szCs w:val="20"/>
                <w:color w:val="auto"/>
              </w:rPr>
            </w:pPr>
            <w:r>
              <w:rPr>
                <w:rFonts w:ascii="Arial" w:cs="Arial" w:eastAsia="Arial" w:hAnsi="Arial"/>
                <w:sz w:val="12"/>
                <w:szCs w:val="12"/>
                <w:color w:val="auto"/>
              </w:rPr>
              <w:t>Professional Services</w:t>
            </w:r>
            <w:r>
              <w:rPr>
                <w:rFonts w:ascii="Arial" w:cs="Arial" w:eastAsia="Arial" w:hAnsi="Arial"/>
                <w:sz w:val="19"/>
                <w:szCs w:val="19"/>
                <w:color w:val="auto"/>
                <w:vertAlign w:val="superscript"/>
              </w:rPr>
              <w:t>1</w:t>
            </w:r>
            <w:r>
              <w:rPr>
                <w:rFonts w:ascii="Arial" w:cs="Arial" w:eastAsia="Arial" w:hAnsi="Arial"/>
                <w:sz w:val="12"/>
                <w:szCs w:val="12"/>
                <w:color w:val="auto"/>
              </w:rPr>
              <w:t xml:space="preserve"> Adjusted NSR</w:t>
            </w:r>
          </w:p>
        </w:tc>
        <w:tc>
          <w:tcPr>
            <w:tcW w:w="4160" w:type="dxa"/>
            <w:vAlign w:val="bottom"/>
          </w:tcPr>
          <w:p>
            <w:pPr>
              <w:ind w:left="100"/>
              <w:spacing w:after="0"/>
              <w:rPr>
                <w:sz w:val="20"/>
                <w:szCs w:val="20"/>
                <w:color w:val="auto"/>
              </w:rPr>
            </w:pPr>
            <w:r>
              <w:rPr>
                <w:rFonts w:ascii="Arial" w:cs="Arial" w:eastAsia="Arial" w:hAnsi="Arial"/>
                <w:sz w:val="12"/>
                <w:szCs w:val="12"/>
                <w:color w:val="auto"/>
              </w:rPr>
              <w:t>–   Measures are critical to long-term profitable growth</w:t>
            </w:r>
          </w:p>
        </w:tc>
        <w:tc>
          <w:tcPr>
            <w:tcW w:w="0" w:type="dxa"/>
            <w:vAlign w:val="bottom"/>
          </w:tcPr>
          <w:p>
            <w:pPr>
              <w:spacing w:after="0"/>
              <w:rPr>
                <w:sz w:val="1"/>
                <w:szCs w:val="1"/>
                <w:color w:val="auto"/>
              </w:rPr>
            </w:pPr>
          </w:p>
        </w:tc>
      </w:tr>
      <w:tr>
        <w:trPr>
          <w:trHeight w:val="61"/>
        </w:trPr>
        <w:tc>
          <w:tcPr>
            <w:tcW w:w="2420" w:type="dxa"/>
            <w:vAlign w:val="bottom"/>
            <w:tcBorders>
              <w:right w:val="single" w:sz="8" w:color="00B2E5"/>
            </w:tcBorders>
          </w:tcPr>
          <w:p>
            <w:pPr>
              <w:spacing w:after="0"/>
              <w:rPr>
                <w:sz w:val="5"/>
                <w:szCs w:val="5"/>
                <w:color w:val="auto"/>
              </w:rPr>
            </w:pPr>
          </w:p>
        </w:tc>
        <w:tc>
          <w:tcPr>
            <w:tcW w:w="2360" w:type="dxa"/>
            <w:vAlign w:val="bottom"/>
            <w:tcBorders>
              <w:right w:val="single" w:sz="8" w:color="00B2E5"/>
            </w:tcBorders>
            <w:gridSpan w:val="2"/>
            <w:vMerge w:val="continue"/>
          </w:tcPr>
          <w:p>
            <w:pPr>
              <w:spacing w:after="0"/>
              <w:rPr>
                <w:sz w:val="5"/>
                <w:szCs w:val="5"/>
                <w:color w:val="auto"/>
              </w:rPr>
            </w:pPr>
          </w:p>
        </w:tc>
        <w:tc>
          <w:tcPr>
            <w:tcW w:w="2360" w:type="dxa"/>
            <w:vAlign w:val="bottom"/>
            <w:tcBorders>
              <w:right w:val="single" w:sz="8" w:color="00B2E5"/>
            </w:tcBorders>
            <w:vMerge w:val="continue"/>
          </w:tcPr>
          <w:p>
            <w:pPr>
              <w:spacing w:after="0"/>
              <w:rPr>
                <w:sz w:val="5"/>
                <w:szCs w:val="5"/>
                <w:color w:val="auto"/>
              </w:rPr>
            </w:pPr>
          </w:p>
        </w:tc>
        <w:tc>
          <w:tcPr>
            <w:tcW w:w="4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420" w:type="dxa"/>
            <w:vAlign w:val="bottom"/>
            <w:tcBorders>
              <w:right w:val="single" w:sz="8" w:color="00B2E5"/>
            </w:tcBorders>
          </w:tcPr>
          <w:p>
            <w:pPr>
              <w:spacing w:after="0"/>
              <w:rPr>
                <w:sz w:val="23"/>
                <w:szCs w:val="23"/>
                <w:color w:val="auto"/>
              </w:rPr>
            </w:pPr>
          </w:p>
        </w:tc>
        <w:tc>
          <w:tcPr>
            <w:tcW w:w="2360" w:type="dxa"/>
            <w:vAlign w:val="bottom"/>
            <w:tcBorders>
              <w:right w:val="single" w:sz="8" w:color="00B2E5"/>
            </w:tcBorders>
            <w:gridSpan w:val="2"/>
          </w:tcPr>
          <w:p>
            <w:pPr>
              <w:ind w:left="80"/>
              <w:spacing w:after="0"/>
              <w:rPr>
                <w:sz w:val="20"/>
                <w:szCs w:val="20"/>
                <w:color w:val="auto"/>
              </w:rPr>
            </w:pPr>
            <w:r>
              <w:rPr>
                <w:rFonts w:ascii="Arial" w:cs="Arial" w:eastAsia="Arial" w:hAnsi="Arial"/>
                <w:sz w:val="12"/>
                <w:szCs w:val="12"/>
                <w:color w:val="auto"/>
              </w:rPr>
              <w:t>Operating Margin Percent</w:t>
            </w:r>
            <w:r>
              <w:rPr>
                <w:rFonts w:ascii="Arial" w:cs="Arial" w:eastAsia="Arial" w:hAnsi="Arial"/>
                <w:sz w:val="19"/>
                <w:szCs w:val="19"/>
                <w:color w:val="auto"/>
                <w:vertAlign w:val="superscript"/>
              </w:rPr>
              <w:t>3</w:t>
            </w:r>
          </w:p>
        </w:tc>
        <w:tc>
          <w:tcPr>
            <w:tcW w:w="2360" w:type="dxa"/>
            <w:vAlign w:val="bottom"/>
            <w:tcBorders>
              <w:right w:val="single" w:sz="8" w:color="00B2E5"/>
            </w:tcBorders>
          </w:tcPr>
          <w:p>
            <w:pPr>
              <w:ind w:left="80"/>
              <w:spacing w:after="0"/>
              <w:rPr>
                <w:sz w:val="20"/>
                <w:szCs w:val="20"/>
                <w:color w:val="auto"/>
              </w:rPr>
            </w:pPr>
            <w:r>
              <w:rPr>
                <w:rFonts w:ascii="Arial" w:cs="Arial" w:eastAsia="Arial" w:hAnsi="Arial"/>
                <w:sz w:val="12"/>
                <w:szCs w:val="12"/>
                <w:color w:val="auto"/>
              </w:rPr>
              <w:t>Operating Margin Percent</w:t>
            </w:r>
            <w:r>
              <w:rPr>
                <w:rFonts w:ascii="Arial" w:cs="Arial" w:eastAsia="Arial" w:hAnsi="Arial"/>
                <w:sz w:val="19"/>
                <w:szCs w:val="19"/>
                <w:color w:val="auto"/>
                <w:vertAlign w:val="superscript"/>
              </w:rPr>
              <w:t>3</w:t>
            </w:r>
          </w:p>
        </w:tc>
        <w:tc>
          <w:tcPr>
            <w:tcW w:w="4160" w:type="dxa"/>
            <w:vAlign w:val="bottom"/>
          </w:tcPr>
          <w:p>
            <w:pPr>
              <w:ind w:left="100"/>
              <w:spacing w:after="0"/>
              <w:rPr>
                <w:sz w:val="20"/>
                <w:szCs w:val="20"/>
                <w:color w:val="auto"/>
              </w:rPr>
            </w:pPr>
            <w:r>
              <w:rPr>
                <w:rFonts w:ascii="Arial" w:cs="Arial" w:eastAsia="Arial" w:hAnsi="Arial"/>
                <w:sz w:val="12"/>
                <w:szCs w:val="12"/>
                <w:color w:val="auto"/>
              </w:rPr>
              <w:t>–   Cash flow supports the Company's capital allocation policy</w:t>
            </w:r>
          </w:p>
        </w:tc>
        <w:tc>
          <w:tcPr>
            <w:tcW w:w="0" w:type="dxa"/>
            <w:vAlign w:val="bottom"/>
          </w:tcPr>
          <w:p>
            <w:pPr>
              <w:spacing w:after="0"/>
              <w:rPr>
                <w:sz w:val="1"/>
                <w:szCs w:val="1"/>
                <w:color w:val="auto"/>
              </w:rPr>
            </w:pPr>
          </w:p>
        </w:tc>
      </w:tr>
      <w:tr>
        <w:trPr>
          <w:trHeight w:val="178"/>
        </w:trPr>
        <w:tc>
          <w:tcPr>
            <w:tcW w:w="2420" w:type="dxa"/>
            <w:vAlign w:val="bottom"/>
            <w:tcBorders>
              <w:right w:val="single" w:sz="8" w:color="00B2E5"/>
            </w:tcBorders>
          </w:tcPr>
          <w:p>
            <w:pPr>
              <w:spacing w:after="0"/>
              <w:rPr>
                <w:sz w:val="15"/>
                <w:szCs w:val="15"/>
                <w:color w:val="auto"/>
              </w:rPr>
            </w:pPr>
          </w:p>
        </w:tc>
        <w:tc>
          <w:tcPr>
            <w:tcW w:w="640" w:type="dxa"/>
            <w:vAlign w:val="bottom"/>
          </w:tcPr>
          <w:p>
            <w:pPr>
              <w:spacing w:after="0"/>
              <w:rPr>
                <w:sz w:val="15"/>
                <w:szCs w:val="15"/>
                <w:color w:val="auto"/>
              </w:rPr>
            </w:pPr>
          </w:p>
        </w:tc>
        <w:tc>
          <w:tcPr>
            <w:tcW w:w="1720" w:type="dxa"/>
            <w:vAlign w:val="bottom"/>
            <w:tcBorders>
              <w:right w:val="single" w:sz="8" w:color="00B2E5"/>
            </w:tcBorders>
          </w:tcPr>
          <w:p>
            <w:pPr>
              <w:spacing w:after="0"/>
              <w:rPr>
                <w:sz w:val="15"/>
                <w:szCs w:val="15"/>
                <w:color w:val="auto"/>
              </w:rPr>
            </w:pPr>
          </w:p>
        </w:tc>
        <w:tc>
          <w:tcPr>
            <w:tcW w:w="2360" w:type="dxa"/>
            <w:vAlign w:val="bottom"/>
            <w:tcBorders>
              <w:right w:val="single" w:sz="8" w:color="00B2E5"/>
            </w:tcBorders>
          </w:tcPr>
          <w:p>
            <w:pPr>
              <w:ind w:left="80"/>
              <w:spacing w:after="0"/>
              <w:rPr>
                <w:sz w:val="20"/>
                <w:szCs w:val="20"/>
                <w:color w:val="auto"/>
              </w:rPr>
            </w:pPr>
            <w:r>
              <w:rPr>
                <w:rFonts w:ascii="Arial" w:cs="Arial" w:eastAsia="Arial" w:hAnsi="Arial"/>
                <w:sz w:val="12"/>
                <w:szCs w:val="12"/>
                <w:color w:val="auto"/>
              </w:rPr>
              <w:t xml:space="preserve">AECOM Operating Cash Flow </w:t>
            </w:r>
            <w:r>
              <w:rPr>
                <w:rFonts w:ascii="Arial" w:cs="Arial" w:eastAsia="Arial" w:hAnsi="Arial"/>
                <w:sz w:val="12"/>
                <w:szCs w:val="12"/>
                <w:b w:val="1"/>
                <w:bCs w:val="1"/>
                <w:color w:val="auto"/>
              </w:rPr>
              <w:t>(New</w:t>
            </w:r>
          </w:p>
        </w:tc>
        <w:tc>
          <w:tcPr>
            <w:tcW w:w="4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420" w:type="dxa"/>
            <w:vAlign w:val="bottom"/>
            <w:tcBorders>
              <w:bottom w:val="single" w:sz="8" w:color="00B2E5"/>
              <w:right w:val="single" w:sz="8" w:color="00B2E5"/>
            </w:tcBorders>
          </w:tcPr>
          <w:p>
            <w:pPr>
              <w:spacing w:after="0"/>
              <w:rPr>
                <w:sz w:val="13"/>
                <w:szCs w:val="13"/>
                <w:color w:val="auto"/>
              </w:rPr>
            </w:pPr>
          </w:p>
        </w:tc>
        <w:tc>
          <w:tcPr>
            <w:tcW w:w="640" w:type="dxa"/>
            <w:vAlign w:val="bottom"/>
            <w:tcBorders>
              <w:bottom w:val="single" w:sz="8" w:color="00B2E5"/>
            </w:tcBorders>
          </w:tcPr>
          <w:p>
            <w:pPr>
              <w:spacing w:after="0"/>
              <w:rPr>
                <w:sz w:val="13"/>
                <w:szCs w:val="13"/>
                <w:color w:val="auto"/>
              </w:rPr>
            </w:pPr>
          </w:p>
        </w:tc>
        <w:tc>
          <w:tcPr>
            <w:tcW w:w="1720" w:type="dxa"/>
            <w:vAlign w:val="bottom"/>
            <w:tcBorders>
              <w:bottom w:val="single" w:sz="8" w:color="00B2E5"/>
              <w:right w:val="single" w:sz="8" w:color="00B2E5"/>
            </w:tcBorders>
          </w:tcPr>
          <w:p>
            <w:pPr>
              <w:spacing w:after="0"/>
              <w:rPr>
                <w:sz w:val="13"/>
                <w:szCs w:val="13"/>
                <w:color w:val="auto"/>
              </w:rPr>
            </w:pPr>
          </w:p>
        </w:tc>
        <w:tc>
          <w:tcPr>
            <w:tcW w:w="2360" w:type="dxa"/>
            <w:vAlign w:val="bottom"/>
            <w:tcBorders>
              <w:bottom w:val="single" w:sz="8" w:color="00B2E5"/>
              <w:right w:val="single" w:sz="8" w:color="00B2E5"/>
            </w:tcBorders>
          </w:tcPr>
          <w:p>
            <w:pPr>
              <w:ind w:left="80"/>
              <w:spacing w:after="0"/>
              <w:rPr>
                <w:sz w:val="20"/>
                <w:szCs w:val="20"/>
                <w:color w:val="auto"/>
              </w:rPr>
            </w:pPr>
            <w:r>
              <w:rPr>
                <w:rFonts w:ascii="Arial" w:cs="Arial" w:eastAsia="Arial" w:hAnsi="Arial"/>
                <w:sz w:val="12"/>
                <w:szCs w:val="12"/>
                <w:b w:val="1"/>
                <w:bCs w:val="1"/>
                <w:color w:val="auto"/>
              </w:rPr>
              <w:t>for 2021)</w:t>
            </w:r>
          </w:p>
        </w:tc>
        <w:tc>
          <w:tcPr>
            <w:tcW w:w="4160" w:type="dxa"/>
            <w:vAlign w:val="bottom"/>
            <w:tcBorders>
              <w:bottom w:val="single" w:sz="8" w:color="00B2E5"/>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420" w:type="dxa"/>
            <w:vAlign w:val="bottom"/>
            <w:tcBorders>
              <w:right w:val="single" w:sz="8" w:color="00B2E5"/>
            </w:tcBorders>
          </w:tcPr>
          <w:p>
            <w:pPr>
              <w:spacing w:after="0" w:line="114" w:lineRule="exact"/>
              <w:rPr>
                <w:sz w:val="20"/>
                <w:szCs w:val="20"/>
                <w:color w:val="auto"/>
              </w:rPr>
            </w:pPr>
            <w:r>
              <w:rPr>
                <w:rFonts w:ascii="Arial" w:cs="Arial" w:eastAsia="Arial" w:hAnsi="Arial"/>
                <w:sz w:val="12"/>
                <w:szCs w:val="12"/>
                <w:b w:val="1"/>
                <w:bCs w:val="1"/>
                <w:color w:val="auto"/>
              </w:rPr>
              <w:t>Individual KPI Performance Goals</w:t>
            </w:r>
          </w:p>
        </w:tc>
        <w:tc>
          <w:tcPr>
            <w:tcW w:w="2360" w:type="dxa"/>
            <w:vAlign w:val="bottom"/>
            <w:tcBorders>
              <w:right w:val="single" w:sz="8" w:color="00B2E5"/>
            </w:tcBorders>
            <w:gridSpan w:val="2"/>
          </w:tcPr>
          <w:p>
            <w:pPr>
              <w:ind w:left="80"/>
              <w:spacing w:after="0" w:line="114" w:lineRule="exact"/>
              <w:rPr>
                <w:sz w:val="20"/>
                <w:szCs w:val="20"/>
                <w:color w:val="auto"/>
              </w:rPr>
            </w:pPr>
            <w:r>
              <w:rPr>
                <w:rFonts w:ascii="Arial" w:cs="Arial" w:eastAsia="Arial" w:hAnsi="Arial"/>
                <w:sz w:val="12"/>
                <w:szCs w:val="12"/>
                <w:color w:val="auto"/>
              </w:rPr>
              <w:t>See Prior Page</w:t>
            </w:r>
          </w:p>
        </w:tc>
        <w:tc>
          <w:tcPr>
            <w:tcW w:w="2360" w:type="dxa"/>
            <w:vAlign w:val="bottom"/>
            <w:tcBorders>
              <w:right w:val="single" w:sz="8" w:color="00B2E5"/>
            </w:tcBorders>
          </w:tcPr>
          <w:p>
            <w:pPr>
              <w:ind w:left="80"/>
              <w:spacing w:after="0" w:line="114" w:lineRule="exact"/>
              <w:rPr>
                <w:sz w:val="20"/>
                <w:szCs w:val="20"/>
                <w:color w:val="auto"/>
              </w:rPr>
            </w:pPr>
            <w:r>
              <w:rPr>
                <w:rFonts w:ascii="Arial" w:cs="Arial" w:eastAsia="Arial" w:hAnsi="Arial"/>
                <w:sz w:val="12"/>
                <w:szCs w:val="12"/>
                <w:color w:val="auto"/>
              </w:rPr>
              <w:t>ESG (Environmental, Social and</w:t>
            </w:r>
          </w:p>
        </w:tc>
        <w:tc>
          <w:tcPr>
            <w:tcW w:w="4160" w:type="dxa"/>
            <w:vAlign w:val="bottom"/>
          </w:tcPr>
          <w:p>
            <w:pPr>
              <w:ind w:left="100"/>
              <w:spacing w:after="0" w:line="114" w:lineRule="exact"/>
              <w:rPr>
                <w:sz w:val="20"/>
                <w:szCs w:val="20"/>
                <w:color w:val="auto"/>
              </w:rPr>
            </w:pPr>
            <w:r>
              <w:rPr>
                <w:rFonts w:ascii="Arial" w:cs="Arial" w:eastAsia="Arial" w:hAnsi="Arial"/>
                <w:sz w:val="12"/>
                <w:szCs w:val="12"/>
                <w:color w:val="auto"/>
              </w:rPr>
              <w:t>–   ESG added to the Company's long-term strategic plan to become the</w:t>
            </w:r>
          </w:p>
        </w:tc>
        <w:tc>
          <w:tcPr>
            <w:tcW w:w="0" w:type="dxa"/>
            <w:vAlign w:val="bottom"/>
          </w:tcPr>
          <w:p>
            <w:pPr>
              <w:spacing w:after="0"/>
              <w:rPr>
                <w:sz w:val="1"/>
                <w:szCs w:val="1"/>
                <w:color w:val="auto"/>
              </w:rPr>
            </w:pPr>
          </w:p>
        </w:tc>
      </w:tr>
      <w:tr>
        <w:trPr>
          <w:trHeight w:val="146"/>
        </w:trPr>
        <w:tc>
          <w:tcPr>
            <w:tcW w:w="2420" w:type="dxa"/>
            <w:vAlign w:val="bottom"/>
            <w:tcBorders>
              <w:right w:val="single" w:sz="8" w:color="00B2E5"/>
            </w:tcBorders>
          </w:tcPr>
          <w:p>
            <w:pPr>
              <w:spacing w:after="0"/>
              <w:rPr>
                <w:sz w:val="12"/>
                <w:szCs w:val="12"/>
                <w:color w:val="auto"/>
              </w:rPr>
            </w:pPr>
          </w:p>
        </w:tc>
        <w:tc>
          <w:tcPr>
            <w:tcW w:w="640" w:type="dxa"/>
            <w:vAlign w:val="bottom"/>
          </w:tcPr>
          <w:p>
            <w:pPr>
              <w:spacing w:after="0"/>
              <w:rPr>
                <w:sz w:val="12"/>
                <w:szCs w:val="12"/>
                <w:color w:val="auto"/>
              </w:rPr>
            </w:pPr>
          </w:p>
        </w:tc>
        <w:tc>
          <w:tcPr>
            <w:tcW w:w="1720" w:type="dxa"/>
            <w:vAlign w:val="bottom"/>
            <w:tcBorders>
              <w:right w:val="single" w:sz="8" w:color="00B2E5"/>
            </w:tcBorders>
          </w:tcPr>
          <w:p>
            <w:pPr>
              <w:spacing w:after="0"/>
              <w:rPr>
                <w:sz w:val="12"/>
                <w:szCs w:val="12"/>
                <w:color w:val="auto"/>
              </w:rPr>
            </w:pPr>
          </w:p>
        </w:tc>
        <w:tc>
          <w:tcPr>
            <w:tcW w:w="2360" w:type="dxa"/>
            <w:vAlign w:val="bottom"/>
            <w:tcBorders>
              <w:right w:val="single" w:sz="8" w:color="00B2E5"/>
            </w:tcBorders>
          </w:tcPr>
          <w:p>
            <w:pPr>
              <w:ind w:left="80"/>
              <w:spacing w:after="0"/>
              <w:rPr>
                <w:sz w:val="20"/>
                <w:szCs w:val="20"/>
                <w:color w:val="auto"/>
              </w:rPr>
            </w:pPr>
            <w:r>
              <w:rPr>
                <w:rFonts w:ascii="Arial" w:cs="Arial" w:eastAsia="Arial" w:hAnsi="Arial"/>
                <w:sz w:val="12"/>
                <w:szCs w:val="12"/>
                <w:color w:val="auto"/>
              </w:rPr>
              <w:t>Governance) goals such as, for the</w:t>
            </w:r>
          </w:p>
        </w:tc>
        <w:tc>
          <w:tcPr>
            <w:tcW w:w="4160" w:type="dxa"/>
            <w:vAlign w:val="bottom"/>
          </w:tcPr>
          <w:p>
            <w:pPr>
              <w:ind w:left="300"/>
              <w:spacing w:after="0"/>
              <w:rPr>
                <w:sz w:val="20"/>
                <w:szCs w:val="20"/>
                <w:color w:val="auto"/>
              </w:rPr>
            </w:pPr>
            <w:r>
              <w:rPr>
                <w:rFonts w:ascii="Arial" w:cs="Arial" w:eastAsia="Arial" w:hAnsi="Arial"/>
                <w:sz w:val="12"/>
                <w:szCs w:val="12"/>
                <w:color w:val="auto"/>
              </w:rPr>
              <w:t>ESG leader in our industry</w:t>
            </w:r>
          </w:p>
        </w:tc>
        <w:tc>
          <w:tcPr>
            <w:tcW w:w="0" w:type="dxa"/>
            <w:vAlign w:val="bottom"/>
          </w:tcPr>
          <w:p>
            <w:pPr>
              <w:spacing w:after="0"/>
              <w:rPr>
                <w:sz w:val="1"/>
                <w:szCs w:val="1"/>
                <w:color w:val="auto"/>
              </w:rPr>
            </w:pPr>
          </w:p>
        </w:tc>
      </w:tr>
      <w:tr>
        <w:trPr>
          <w:trHeight w:val="137"/>
        </w:trPr>
        <w:tc>
          <w:tcPr>
            <w:tcW w:w="2420" w:type="dxa"/>
            <w:vAlign w:val="bottom"/>
            <w:tcBorders>
              <w:right w:val="single" w:sz="8" w:color="00B2E5"/>
            </w:tcBorders>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tcBorders>
              <w:right w:val="single" w:sz="8" w:color="00B2E5"/>
            </w:tcBorders>
          </w:tcPr>
          <w:p>
            <w:pPr>
              <w:spacing w:after="0"/>
              <w:rPr>
                <w:sz w:val="11"/>
                <w:szCs w:val="11"/>
                <w:color w:val="auto"/>
              </w:rPr>
            </w:pPr>
          </w:p>
        </w:tc>
        <w:tc>
          <w:tcPr>
            <w:tcW w:w="2360" w:type="dxa"/>
            <w:vAlign w:val="bottom"/>
            <w:tcBorders>
              <w:right w:val="single" w:sz="8" w:color="00B2E5"/>
            </w:tcBorders>
          </w:tcPr>
          <w:p>
            <w:pPr>
              <w:ind w:left="80"/>
              <w:spacing w:after="0" w:line="137" w:lineRule="exact"/>
              <w:rPr>
                <w:sz w:val="20"/>
                <w:szCs w:val="20"/>
                <w:color w:val="auto"/>
              </w:rPr>
            </w:pPr>
            <w:r>
              <w:rPr>
                <w:rFonts w:ascii="Arial" w:cs="Arial" w:eastAsia="Arial" w:hAnsi="Arial"/>
                <w:sz w:val="12"/>
                <w:szCs w:val="12"/>
                <w:color w:val="auto"/>
              </w:rPr>
              <w:t>CEO, Safety; Ethics &amp; Compliance;</w:t>
            </w:r>
          </w:p>
        </w:tc>
        <w:tc>
          <w:tcPr>
            <w:tcW w:w="4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20" w:type="dxa"/>
            <w:vAlign w:val="bottom"/>
            <w:tcBorders>
              <w:right w:val="single" w:sz="8" w:color="00B2E5"/>
            </w:tcBorders>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tcBorders>
              <w:right w:val="single" w:sz="8" w:color="00B2E5"/>
            </w:tcBorders>
          </w:tcPr>
          <w:p>
            <w:pPr>
              <w:spacing w:after="0"/>
              <w:rPr>
                <w:sz w:val="11"/>
                <w:szCs w:val="11"/>
                <w:color w:val="auto"/>
              </w:rPr>
            </w:pPr>
          </w:p>
        </w:tc>
        <w:tc>
          <w:tcPr>
            <w:tcW w:w="2360" w:type="dxa"/>
            <w:vAlign w:val="bottom"/>
            <w:tcBorders>
              <w:right w:val="single" w:sz="8" w:color="00B2E5"/>
            </w:tcBorders>
          </w:tcPr>
          <w:p>
            <w:pPr>
              <w:ind w:left="80"/>
              <w:spacing w:after="0" w:line="137" w:lineRule="exact"/>
              <w:rPr>
                <w:sz w:val="20"/>
                <w:szCs w:val="20"/>
                <w:color w:val="auto"/>
              </w:rPr>
            </w:pPr>
            <w:r>
              <w:rPr>
                <w:rFonts w:ascii="Arial" w:cs="Arial" w:eastAsia="Arial" w:hAnsi="Arial"/>
                <w:sz w:val="12"/>
                <w:szCs w:val="12"/>
                <w:color w:val="auto"/>
              </w:rPr>
              <w:t>Percentage of Women in Leadership;</w:t>
            </w:r>
          </w:p>
        </w:tc>
        <w:tc>
          <w:tcPr>
            <w:tcW w:w="4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20" w:type="dxa"/>
            <w:vAlign w:val="bottom"/>
            <w:tcBorders>
              <w:right w:val="single" w:sz="8" w:color="00B2E5"/>
            </w:tcBorders>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tcBorders>
              <w:right w:val="single" w:sz="8" w:color="00B2E5"/>
            </w:tcBorders>
          </w:tcPr>
          <w:p>
            <w:pPr>
              <w:spacing w:after="0"/>
              <w:rPr>
                <w:sz w:val="11"/>
                <w:szCs w:val="11"/>
                <w:color w:val="auto"/>
              </w:rPr>
            </w:pPr>
          </w:p>
        </w:tc>
        <w:tc>
          <w:tcPr>
            <w:tcW w:w="2360" w:type="dxa"/>
            <w:vAlign w:val="bottom"/>
            <w:tcBorders>
              <w:right w:val="single" w:sz="8" w:color="00B2E5"/>
            </w:tcBorders>
          </w:tcPr>
          <w:p>
            <w:pPr>
              <w:ind w:left="80"/>
              <w:spacing w:after="0" w:line="137" w:lineRule="exact"/>
              <w:rPr>
                <w:sz w:val="20"/>
                <w:szCs w:val="20"/>
                <w:color w:val="auto"/>
              </w:rPr>
            </w:pPr>
            <w:r>
              <w:rPr>
                <w:rFonts w:ascii="Arial" w:cs="Arial" w:eastAsia="Arial" w:hAnsi="Arial"/>
                <w:sz w:val="12"/>
                <w:szCs w:val="12"/>
                <w:color w:val="auto"/>
              </w:rPr>
              <w:t>and overall improved ESG ratings</w:t>
            </w:r>
          </w:p>
        </w:tc>
        <w:tc>
          <w:tcPr>
            <w:tcW w:w="4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Borders>
              <w:bottom w:val="single" w:sz="8" w:color="00B2E5"/>
              <w:right w:val="single" w:sz="8" w:color="00B2E5"/>
            </w:tcBorders>
          </w:tcPr>
          <w:p>
            <w:pPr>
              <w:spacing w:after="0"/>
              <w:rPr>
                <w:sz w:val="12"/>
                <w:szCs w:val="12"/>
                <w:color w:val="auto"/>
              </w:rPr>
            </w:pPr>
          </w:p>
        </w:tc>
        <w:tc>
          <w:tcPr>
            <w:tcW w:w="640" w:type="dxa"/>
            <w:vAlign w:val="bottom"/>
            <w:tcBorders>
              <w:bottom w:val="single" w:sz="8" w:color="00B2E5"/>
            </w:tcBorders>
          </w:tcPr>
          <w:p>
            <w:pPr>
              <w:spacing w:after="0"/>
              <w:rPr>
                <w:sz w:val="12"/>
                <w:szCs w:val="12"/>
                <w:color w:val="auto"/>
              </w:rPr>
            </w:pPr>
          </w:p>
        </w:tc>
        <w:tc>
          <w:tcPr>
            <w:tcW w:w="1720" w:type="dxa"/>
            <w:vAlign w:val="bottom"/>
            <w:tcBorders>
              <w:bottom w:val="single" w:sz="8" w:color="00B2E5"/>
              <w:right w:val="single" w:sz="8" w:color="00B2E5"/>
            </w:tcBorders>
          </w:tcPr>
          <w:p>
            <w:pPr>
              <w:spacing w:after="0"/>
              <w:rPr>
                <w:sz w:val="12"/>
                <w:szCs w:val="12"/>
                <w:color w:val="auto"/>
              </w:rPr>
            </w:pPr>
          </w:p>
        </w:tc>
        <w:tc>
          <w:tcPr>
            <w:tcW w:w="2360" w:type="dxa"/>
            <w:vAlign w:val="bottom"/>
            <w:tcBorders>
              <w:bottom w:val="single" w:sz="8" w:color="00B2E5"/>
              <w:right w:val="single" w:sz="8" w:color="00B2E5"/>
            </w:tcBorders>
          </w:tcPr>
          <w:p>
            <w:pPr>
              <w:ind w:left="80"/>
              <w:spacing w:after="0"/>
              <w:rPr>
                <w:sz w:val="20"/>
                <w:szCs w:val="20"/>
                <w:color w:val="auto"/>
              </w:rPr>
            </w:pPr>
            <w:r>
              <w:rPr>
                <w:rFonts w:ascii="Arial" w:cs="Arial" w:eastAsia="Arial" w:hAnsi="Arial"/>
                <w:sz w:val="12"/>
                <w:szCs w:val="12"/>
                <w:color w:val="auto"/>
              </w:rPr>
              <w:t>from independent ESG research firms</w:t>
            </w:r>
          </w:p>
        </w:tc>
        <w:tc>
          <w:tcPr>
            <w:tcW w:w="4160" w:type="dxa"/>
            <w:vAlign w:val="bottom"/>
            <w:tcBorders>
              <w:bottom w:val="single" w:sz="8" w:color="00B2E5"/>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4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4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67" w:hanging="367"/>
        <w:spacing w:after="0"/>
        <w:tabs>
          <w:tab w:leader="none" w:pos="367" w:val="left"/>
        </w:tabs>
        <w:numPr>
          <w:ilvl w:val="0"/>
          <w:numId w:val="44"/>
        </w:numPr>
        <w:rPr>
          <w:rFonts w:ascii="Arial" w:cs="Arial" w:eastAsia="Arial" w:hAnsi="Arial"/>
          <w:sz w:val="20"/>
          <w:szCs w:val="20"/>
          <w:color w:val="auto"/>
          <w:vertAlign w:val="superscript"/>
        </w:rPr>
      </w:pPr>
      <w:r>
        <w:rPr>
          <w:rFonts w:ascii="Arial" w:cs="Arial" w:eastAsia="Arial" w:hAnsi="Arial"/>
          <w:sz w:val="12"/>
          <w:szCs w:val="12"/>
          <w:color w:val="auto"/>
        </w:rPr>
        <w:t>Defined as AECOM Enterprise less the at-risk, self-perform construction businesses to be sold, which are reported in discontinued operations.</w:t>
      </w:r>
    </w:p>
    <w:p>
      <w:pPr>
        <w:spacing w:after="0" w:line="123" w:lineRule="exact"/>
        <w:rPr>
          <w:sz w:val="20"/>
          <w:szCs w:val="20"/>
          <w:color w:val="auto"/>
        </w:rPr>
      </w:pPr>
    </w:p>
    <w:p>
      <w:pPr>
        <w:ind w:left="367" w:right="20" w:hanging="367"/>
        <w:spacing w:after="0" w:line="193" w:lineRule="auto"/>
        <w:tabs>
          <w:tab w:leader="none" w:pos="367" w:val="left"/>
        </w:tabs>
        <w:numPr>
          <w:ilvl w:val="0"/>
          <w:numId w:val="45"/>
        </w:numPr>
        <w:rPr>
          <w:rFonts w:ascii="Arial" w:cs="Arial" w:eastAsia="Arial" w:hAnsi="Arial"/>
          <w:sz w:val="20"/>
          <w:szCs w:val="20"/>
          <w:color w:val="auto"/>
          <w:vertAlign w:val="superscript"/>
        </w:rPr>
      </w:pPr>
      <w:r>
        <w:rPr>
          <w:rFonts w:ascii="Arial" w:cs="Arial" w:eastAsia="Arial" w:hAnsi="Arial"/>
          <w:sz w:val="12"/>
          <w:szCs w:val="12"/>
          <w:color w:val="auto"/>
        </w:rPr>
        <w:t>Defined as Net Income attributable to AECOM before income tax expense (benefit), interest expense, interest income, depreciation and amortization expense, excluding acquisition and integration-related items, transaction-related expenses, financial impacts associated with expected and actual dispositions of non-core businesses and assets, and transformational restructuring related expenses.</w:t>
      </w:r>
    </w:p>
    <w:p>
      <w:pPr>
        <w:spacing w:after="0" w:line="114" w:lineRule="exact"/>
        <w:rPr>
          <w:sz w:val="20"/>
          <w:szCs w:val="20"/>
          <w:color w:val="auto"/>
        </w:rPr>
      </w:pPr>
    </w:p>
    <w:p>
      <w:pPr>
        <w:jc w:val="both"/>
        <w:ind w:left="367" w:right="20" w:hanging="367"/>
        <w:spacing w:after="0" w:line="205" w:lineRule="auto"/>
        <w:tabs>
          <w:tab w:leader="none" w:pos="367" w:val="left"/>
        </w:tabs>
        <w:numPr>
          <w:ilvl w:val="0"/>
          <w:numId w:val="46"/>
        </w:numPr>
        <w:rPr>
          <w:rFonts w:ascii="Arial" w:cs="Arial" w:eastAsia="Arial" w:hAnsi="Arial"/>
          <w:sz w:val="20"/>
          <w:szCs w:val="20"/>
          <w:color w:val="auto"/>
          <w:vertAlign w:val="superscript"/>
        </w:rPr>
      </w:pPr>
      <w:r>
        <w:rPr>
          <w:rFonts w:ascii="Arial" w:cs="Arial" w:eastAsia="Arial" w:hAnsi="Arial"/>
          <w:sz w:val="12"/>
          <w:szCs w:val="12"/>
          <w:color w:val="auto"/>
        </w:rPr>
        <w:t>Defined as Adjusted Operating Income divided by Net Service Revenue. Adjusted Operating Income is defined as income from operations excluding acquisition and integration-related items, transaction-related expenses, financial impacts associated with expected and actual dispositions of non-core businesses and assets, amortization of intangible assets, and transformational restructuring related expenses. Net Service Revenue is defined as revenue less other direct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176770" cy="114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6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00B2E5"/>
        </w:rPr>
        <w:t>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76770" cy="11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ind w:left="7"/>
        <w:spacing w:after="0" w:line="274" w:lineRule="auto"/>
        <w:rPr>
          <w:sz w:val="20"/>
          <w:szCs w:val="20"/>
          <w:color w:val="auto"/>
        </w:rPr>
      </w:pPr>
      <w:r>
        <w:rPr>
          <w:rFonts w:ascii="Arial" w:cs="Arial" w:eastAsia="Arial" w:hAnsi="Arial"/>
          <w:sz w:val="12"/>
          <w:szCs w:val="12"/>
          <w:color w:val="auto"/>
        </w:rPr>
        <w:t>Long-term incentive equity awards not only serve to retain our NEOs but also align our NEOs' interests with those of our stockholders by linking the final value to AECOM's stock price and, for PEP awards, being subject to performance metrics that drive our long-term strategy to build sustainable profitable growth and stockholder value.</w:t>
      </w:r>
    </w:p>
    <w:p>
      <w:pPr>
        <w:spacing w:after="0" w:line="10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83755" cy="18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78" w:name="page79"/>
    <w:bookmarkEnd w:id="78"/>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Long-Term Incentive Award</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As part of its review of Fiscal Year 2020 performance, the Compensation Committee analyzed the role and responsibilities of each NEO, including their past and current performance history, and prevailing market practices with respect to our compensation peer group and across industries. Based on these factors (as well as taking into consideration the Compensation Committee's collective experience regarding appropriate annual equity grant levels), the Compensation Committee approved the following equity awards in Fiscal Year 2020:</w:t>
      </w:r>
    </w:p>
    <w:p>
      <w:pPr>
        <w:spacing w:after="0" w:line="145" w:lineRule="exact"/>
        <w:rPr>
          <w:sz w:val="20"/>
          <w:szCs w:val="20"/>
          <w:color w:val="auto"/>
        </w:rPr>
      </w:pPr>
    </w:p>
    <w:tbl>
      <w:tblPr>
        <w:tblLayout w:type="fixed"/>
        <w:tblInd w:w="1340" w:type="dxa"/>
        <w:tblCellMar>
          <w:top w:w="0" w:type="dxa"/>
          <w:left w:w="0" w:type="dxa"/>
          <w:bottom w:w="0" w:type="dxa"/>
          <w:right w:w="0" w:type="dxa"/>
        </w:tblCellMar>
      </w:tblPr>
      <w:tr>
        <w:trPr>
          <w:trHeight w:val="118"/>
        </w:trPr>
        <w:tc>
          <w:tcPr>
            <w:tcW w:w="4780" w:type="dxa"/>
            <w:vAlign w:val="bottom"/>
            <w:tcBorders>
              <w:bottom w:val="single" w:sz="8" w:color="00B2E5"/>
            </w:tcBorders>
            <w:gridSpan w:val="2"/>
          </w:tcPr>
          <w:p>
            <w:pPr>
              <w:spacing w:after="0"/>
              <w:rPr>
                <w:sz w:val="20"/>
                <w:szCs w:val="20"/>
                <w:color w:val="auto"/>
              </w:rPr>
            </w:pPr>
            <w:r>
              <w:rPr>
                <w:rFonts w:ascii="Arial" w:cs="Arial" w:eastAsia="Arial" w:hAnsi="Arial"/>
                <w:sz w:val="10"/>
                <w:szCs w:val="10"/>
                <w:b w:val="1"/>
                <w:bCs w:val="1"/>
                <w:color w:val="auto"/>
              </w:rPr>
              <w:t>NEOs</w:t>
            </w:r>
          </w:p>
        </w:tc>
        <w:tc>
          <w:tcPr>
            <w:tcW w:w="320" w:type="dxa"/>
            <w:vAlign w:val="bottom"/>
            <w:tcBorders>
              <w:bottom w:val="single" w:sz="8" w:color="00B2E5"/>
            </w:tcBorders>
          </w:tcPr>
          <w:p>
            <w:pPr>
              <w:spacing w:after="0"/>
              <w:rPr>
                <w:sz w:val="10"/>
                <w:szCs w:val="10"/>
                <w:color w:val="auto"/>
              </w:rPr>
            </w:pPr>
          </w:p>
        </w:tc>
        <w:tc>
          <w:tcPr>
            <w:tcW w:w="980" w:type="dxa"/>
            <w:vAlign w:val="bottom"/>
            <w:tcBorders>
              <w:bottom w:val="single" w:sz="8" w:color="00B2E5"/>
            </w:tcBorders>
          </w:tcPr>
          <w:p>
            <w:pPr>
              <w:jc w:val="right"/>
              <w:ind w:right="542"/>
              <w:spacing w:after="0"/>
              <w:rPr>
                <w:sz w:val="20"/>
                <w:szCs w:val="20"/>
                <w:color w:val="auto"/>
              </w:rPr>
            </w:pPr>
            <w:r>
              <w:rPr>
                <w:rFonts w:ascii="Arial" w:cs="Arial" w:eastAsia="Arial" w:hAnsi="Arial"/>
                <w:sz w:val="10"/>
                <w:szCs w:val="10"/>
                <w:b w:val="1"/>
                <w:bCs w:val="1"/>
                <w:color w:val="auto"/>
              </w:rPr>
              <w:t>2019</w:t>
            </w:r>
          </w:p>
        </w:tc>
        <w:tc>
          <w:tcPr>
            <w:tcW w:w="300" w:type="dxa"/>
            <w:vAlign w:val="bottom"/>
            <w:tcBorders>
              <w:bottom w:val="single" w:sz="8" w:color="00B2E5"/>
            </w:tcBorders>
          </w:tcPr>
          <w:p>
            <w:pPr>
              <w:spacing w:after="0"/>
              <w:rPr>
                <w:sz w:val="10"/>
                <w:szCs w:val="10"/>
                <w:color w:val="auto"/>
              </w:rPr>
            </w:pPr>
          </w:p>
        </w:tc>
        <w:tc>
          <w:tcPr>
            <w:tcW w:w="980" w:type="dxa"/>
            <w:vAlign w:val="bottom"/>
            <w:tcBorders>
              <w:bottom w:val="single" w:sz="8" w:color="00B2E5"/>
            </w:tcBorders>
          </w:tcPr>
          <w:p>
            <w:pPr>
              <w:jc w:val="right"/>
              <w:ind w:right="542"/>
              <w:spacing w:after="0"/>
              <w:rPr>
                <w:sz w:val="20"/>
                <w:szCs w:val="20"/>
                <w:color w:val="auto"/>
              </w:rPr>
            </w:pPr>
            <w:r>
              <w:rPr>
                <w:rFonts w:ascii="Arial" w:cs="Arial" w:eastAsia="Arial" w:hAnsi="Arial"/>
                <w:sz w:val="10"/>
                <w:szCs w:val="10"/>
                <w:b w:val="1"/>
                <w:bCs w:val="1"/>
                <w:color w:val="auto"/>
              </w:rPr>
              <w:t>2020</w:t>
            </w:r>
          </w:p>
        </w:tc>
        <w:tc>
          <w:tcPr>
            <w:tcW w:w="1120" w:type="dxa"/>
            <w:vAlign w:val="bottom"/>
            <w:tcBorders>
              <w:bottom w:val="single" w:sz="8" w:color="00B2E5"/>
            </w:tcBorders>
          </w:tcPr>
          <w:p>
            <w:pPr>
              <w:jc w:val="right"/>
              <w:ind w:right="342"/>
              <w:spacing w:after="0"/>
              <w:rPr>
                <w:sz w:val="20"/>
                <w:szCs w:val="20"/>
                <w:color w:val="auto"/>
              </w:rPr>
            </w:pPr>
            <w:r>
              <w:rPr>
                <w:rFonts w:ascii="Arial" w:cs="Arial" w:eastAsia="Arial" w:hAnsi="Arial"/>
                <w:sz w:val="10"/>
                <w:szCs w:val="10"/>
                <w:b w:val="1"/>
                <w:bCs w:val="1"/>
                <w:color w:val="auto"/>
              </w:rPr>
              <w:t>% Change</w:t>
            </w:r>
          </w:p>
        </w:tc>
      </w:tr>
      <w:tr>
        <w:trPr>
          <w:trHeight w:val="135"/>
        </w:trPr>
        <w:tc>
          <w:tcPr>
            <w:tcW w:w="4780" w:type="dxa"/>
            <w:vAlign w:val="bottom"/>
            <w:tcBorders>
              <w:bottom w:val="single" w:sz="8" w:color="00B2E5"/>
              <w:right w:val="single" w:sz="8" w:color="00B2E5"/>
            </w:tcBorders>
            <w:gridSpan w:val="2"/>
          </w:tcPr>
          <w:p>
            <w:pPr>
              <w:spacing w:after="0" w:line="135" w:lineRule="exact"/>
              <w:rPr>
                <w:sz w:val="20"/>
                <w:szCs w:val="20"/>
                <w:color w:val="auto"/>
              </w:rPr>
            </w:pPr>
            <w:r>
              <w:rPr>
                <w:rFonts w:ascii="Arial" w:cs="Arial" w:eastAsia="Arial" w:hAnsi="Arial"/>
                <w:sz w:val="12"/>
                <w:szCs w:val="12"/>
                <w:color w:val="auto"/>
              </w:rPr>
              <w:t>W. Troy Rudd</w:t>
            </w:r>
          </w:p>
        </w:tc>
        <w:tc>
          <w:tcPr>
            <w:tcW w:w="320" w:type="dxa"/>
            <w:vAlign w:val="bottom"/>
            <w:tcBorders>
              <w:bottom w:val="single" w:sz="8" w:color="00B2E5"/>
            </w:tcBorders>
          </w:tcPr>
          <w:p>
            <w:pPr>
              <w:jc w:val="right"/>
              <w:ind w:right="81"/>
              <w:spacing w:after="0" w:line="135"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00B2E5"/>
              <w:right w:val="single" w:sz="8" w:color="00B2E5"/>
            </w:tcBorders>
          </w:tcPr>
          <w:p>
            <w:pPr>
              <w:jc w:val="right"/>
              <w:ind w:right="182"/>
              <w:spacing w:after="0" w:line="135" w:lineRule="exact"/>
              <w:rPr>
                <w:sz w:val="20"/>
                <w:szCs w:val="20"/>
                <w:color w:val="auto"/>
              </w:rPr>
            </w:pPr>
            <w:r>
              <w:rPr>
                <w:rFonts w:ascii="Arial" w:cs="Arial" w:eastAsia="Arial" w:hAnsi="Arial"/>
                <w:sz w:val="12"/>
                <w:szCs w:val="12"/>
                <w:color w:val="auto"/>
              </w:rPr>
              <w:t>2,200,000</w:t>
            </w:r>
          </w:p>
        </w:tc>
        <w:tc>
          <w:tcPr>
            <w:tcW w:w="300" w:type="dxa"/>
            <w:vAlign w:val="bottom"/>
            <w:tcBorders>
              <w:bottom w:val="single" w:sz="8" w:color="00B2E5"/>
            </w:tcBorders>
          </w:tcPr>
          <w:p>
            <w:pPr>
              <w:jc w:val="right"/>
              <w:ind w:right="81"/>
              <w:spacing w:after="0" w:line="135"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00B2E5"/>
              <w:right w:val="single" w:sz="8" w:color="00B2E5"/>
            </w:tcBorders>
          </w:tcPr>
          <w:p>
            <w:pPr>
              <w:jc w:val="right"/>
              <w:ind w:right="182"/>
              <w:spacing w:after="0" w:line="135" w:lineRule="exact"/>
              <w:rPr>
                <w:sz w:val="20"/>
                <w:szCs w:val="20"/>
                <w:color w:val="auto"/>
              </w:rPr>
            </w:pPr>
            <w:r>
              <w:rPr>
                <w:rFonts w:ascii="Arial" w:cs="Arial" w:eastAsia="Arial" w:hAnsi="Arial"/>
                <w:sz w:val="12"/>
                <w:szCs w:val="12"/>
                <w:color w:val="auto"/>
              </w:rPr>
              <w:t>2,500,000</w:t>
            </w:r>
          </w:p>
        </w:tc>
        <w:tc>
          <w:tcPr>
            <w:tcW w:w="1120" w:type="dxa"/>
            <w:vAlign w:val="bottom"/>
            <w:tcBorders>
              <w:bottom w:val="single" w:sz="8" w:color="00B2E5"/>
            </w:tcBorders>
          </w:tcPr>
          <w:p>
            <w:pPr>
              <w:jc w:val="right"/>
              <w:ind w:right="42"/>
              <w:spacing w:after="0" w:line="135" w:lineRule="exact"/>
              <w:rPr>
                <w:sz w:val="20"/>
                <w:szCs w:val="20"/>
                <w:color w:val="auto"/>
              </w:rPr>
            </w:pPr>
            <w:r>
              <w:rPr>
                <w:rFonts w:ascii="Arial" w:cs="Arial" w:eastAsia="Arial" w:hAnsi="Arial"/>
                <w:sz w:val="12"/>
                <w:szCs w:val="12"/>
                <w:color w:val="auto"/>
              </w:rPr>
              <w:t>13.6%</w:t>
            </w:r>
          </w:p>
        </w:tc>
      </w:tr>
      <w:tr>
        <w:trPr>
          <w:trHeight w:val="126"/>
        </w:trPr>
        <w:tc>
          <w:tcPr>
            <w:tcW w:w="4780" w:type="dxa"/>
            <w:vAlign w:val="bottom"/>
            <w:tcBorders>
              <w:bottom w:val="single" w:sz="8" w:color="00B2E5"/>
              <w:right w:val="single" w:sz="8" w:color="00B2E5"/>
            </w:tcBorders>
            <w:gridSpan w:val="2"/>
          </w:tcPr>
          <w:p>
            <w:pPr>
              <w:spacing w:after="0" w:line="126" w:lineRule="exact"/>
              <w:rPr>
                <w:sz w:val="20"/>
                <w:szCs w:val="20"/>
                <w:color w:val="auto"/>
              </w:rPr>
            </w:pPr>
            <w:r>
              <w:rPr>
                <w:rFonts w:ascii="Arial" w:cs="Arial" w:eastAsia="Arial" w:hAnsi="Arial"/>
                <w:sz w:val="12"/>
                <w:szCs w:val="12"/>
                <w:color w:val="auto"/>
              </w:rPr>
              <w:t>Gaurav Kapoor</w:t>
            </w:r>
          </w:p>
        </w:tc>
        <w:tc>
          <w:tcPr>
            <w:tcW w:w="320" w:type="dxa"/>
            <w:vAlign w:val="bottom"/>
            <w:tcBorders>
              <w:bottom w:val="single" w:sz="8" w:color="00B2E5"/>
            </w:tcBorders>
          </w:tcPr>
          <w:p>
            <w:pPr>
              <w:jc w:val="right"/>
              <w:ind w:right="81"/>
              <w:spacing w:after="0" w:line="126"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00B2E5"/>
              <w:right w:val="single" w:sz="8" w:color="00B2E5"/>
            </w:tcBorders>
          </w:tcPr>
          <w:p>
            <w:pPr>
              <w:jc w:val="right"/>
              <w:ind w:right="182"/>
              <w:spacing w:after="0" w:line="126" w:lineRule="exact"/>
              <w:rPr>
                <w:sz w:val="20"/>
                <w:szCs w:val="20"/>
                <w:color w:val="auto"/>
              </w:rPr>
            </w:pPr>
            <w:r>
              <w:rPr>
                <w:rFonts w:ascii="Arial" w:cs="Arial" w:eastAsia="Arial" w:hAnsi="Arial"/>
                <w:sz w:val="12"/>
                <w:szCs w:val="12"/>
                <w:color w:val="auto"/>
              </w:rPr>
              <w:t>475,000</w:t>
            </w:r>
          </w:p>
        </w:tc>
        <w:tc>
          <w:tcPr>
            <w:tcW w:w="300" w:type="dxa"/>
            <w:vAlign w:val="bottom"/>
            <w:tcBorders>
              <w:bottom w:val="single" w:sz="8" w:color="00B2E5"/>
            </w:tcBorders>
          </w:tcPr>
          <w:p>
            <w:pPr>
              <w:jc w:val="right"/>
              <w:ind w:right="81"/>
              <w:spacing w:after="0" w:line="126"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00B2E5"/>
              <w:right w:val="single" w:sz="8" w:color="00B2E5"/>
            </w:tcBorders>
          </w:tcPr>
          <w:p>
            <w:pPr>
              <w:jc w:val="right"/>
              <w:ind w:right="182"/>
              <w:spacing w:after="0" w:line="126" w:lineRule="exact"/>
              <w:rPr>
                <w:sz w:val="20"/>
                <w:szCs w:val="20"/>
                <w:color w:val="auto"/>
              </w:rPr>
            </w:pPr>
            <w:r>
              <w:rPr>
                <w:rFonts w:ascii="Arial" w:cs="Arial" w:eastAsia="Arial" w:hAnsi="Arial"/>
                <w:sz w:val="12"/>
                <w:szCs w:val="12"/>
                <w:color w:val="auto"/>
              </w:rPr>
              <w:t>600,000</w:t>
            </w:r>
          </w:p>
        </w:tc>
        <w:tc>
          <w:tcPr>
            <w:tcW w:w="1120" w:type="dxa"/>
            <w:vAlign w:val="bottom"/>
            <w:tcBorders>
              <w:bottom w:val="single" w:sz="8" w:color="00B2E5"/>
            </w:tcBorders>
          </w:tcPr>
          <w:p>
            <w:pPr>
              <w:jc w:val="right"/>
              <w:ind w:right="42"/>
              <w:spacing w:after="0" w:line="126" w:lineRule="exact"/>
              <w:rPr>
                <w:sz w:val="20"/>
                <w:szCs w:val="20"/>
                <w:color w:val="auto"/>
              </w:rPr>
            </w:pPr>
            <w:r>
              <w:rPr>
                <w:rFonts w:ascii="Arial" w:cs="Arial" w:eastAsia="Arial" w:hAnsi="Arial"/>
                <w:sz w:val="12"/>
                <w:szCs w:val="12"/>
                <w:color w:val="auto"/>
              </w:rPr>
              <w:t>26.3%</w:t>
            </w:r>
          </w:p>
        </w:tc>
      </w:tr>
      <w:tr>
        <w:trPr>
          <w:trHeight w:val="126"/>
        </w:trPr>
        <w:tc>
          <w:tcPr>
            <w:tcW w:w="4780" w:type="dxa"/>
            <w:vAlign w:val="bottom"/>
            <w:tcBorders>
              <w:bottom w:val="single" w:sz="8" w:color="00B2E5"/>
              <w:right w:val="single" w:sz="8" w:color="00B2E5"/>
            </w:tcBorders>
            <w:gridSpan w:val="2"/>
          </w:tcPr>
          <w:p>
            <w:pPr>
              <w:spacing w:after="0" w:line="126" w:lineRule="exact"/>
              <w:rPr>
                <w:sz w:val="20"/>
                <w:szCs w:val="20"/>
                <w:color w:val="auto"/>
              </w:rPr>
            </w:pPr>
            <w:r>
              <w:rPr>
                <w:rFonts w:ascii="Arial" w:cs="Arial" w:eastAsia="Arial" w:hAnsi="Arial"/>
                <w:sz w:val="12"/>
                <w:szCs w:val="12"/>
                <w:color w:val="auto"/>
              </w:rPr>
              <w:t>Lara Poloni</w:t>
            </w:r>
          </w:p>
        </w:tc>
        <w:tc>
          <w:tcPr>
            <w:tcW w:w="320" w:type="dxa"/>
            <w:vAlign w:val="bottom"/>
            <w:tcBorders>
              <w:bottom w:val="single" w:sz="8" w:color="00B2E5"/>
            </w:tcBorders>
          </w:tcPr>
          <w:p>
            <w:pPr>
              <w:jc w:val="right"/>
              <w:ind w:right="81"/>
              <w:spacing w:after="0" w:line="126"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00B2E5"/>
              <w:right w:val="single" w:sz="8" w:color="00B2E5"/>
            </w:tcBorders>
          </w:tcPr>
          <w:p>
            <w:pPr>
              <w:jc w:val="right"/>
              <w:ind w:right="182"/>
              <w:spacing w:after="0" w:line="126" w:lineRule="exact"/>
              <w:rPr>
                <w:sz w:val="20"/>
                <w:szCs w:val="20"/>
                <w:color w:val="auto"/>
              </w:rPr>
            </w:pPr>
            <w:r>
              <w:rPr>
                <w:rFonts w:ascii="Arial" w:cs="Arial" w:eastAsia="Arial" w:hAnsi="Arial"/>
                <w:sz w:val="12"/>
                <w:szCs w:val="12"/>
                <w:color w:val="auto"/>
              </w:rPr>
              <w:t>700,000</w:t>
            </w:r>
          </w:p>
        </w:tc>
        <w:tc>
          <w:tcPr>
            <w:tcW w:w="300" w:type="dxa"/>
            <w:vAlign w:val="bottom"/>
            <w:tcBorders>
              <w:bottom w:val="single" w:sz="8" w:color="00B2E5"/>
            </w:tcBorders>
          </w:tcPr>
          <w:p>
            <w:pPr>
              <w:jc w:val="right"/>
              <w:ind w:right="81"/>
              <w:spacing w:after="0" w:line="126"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00B2E5"/>
              <w:right w:val="single" w:sz="8" w:color="00B2E5"/>
            </w:tcBorders>
          </w:tcPr>
          <w:p>
            <w:pPr>
              <w:jc w:val="right"/>
              <w:ind w:right="182"/>
              <w:spacing w:after="0" w:line="126" w:lineRule="exact"/>
              <w:rPr>
                <w:sz w:val="20"/>
                <w:szCs w:val="20"/>
                <w:color w:val="auto"/>
              </w:rPr>
            </w:pPr>
            <w:r>
              <w:rPr>
                <w:rFonts w:ascii="Arial" w:cs="Arial" w:eastAsia="Arial" w:hAnsi="Arial"/>
                <w:sz w:val="12"/>
                <w:szCs w:val="12"/>
                <w:color w:val="auto"/>
              </w:rPr>
              <w:t>1,000,000</w:t>
            </w:r>
          </w:p>
        </w:tc>
        <w:tc>
          <w:tcPr>
            <w:tcW w:w="1120" w:type="dxa"/>
            <w:vAlign w:val="bottom"/>
            <w:tcBorders>
              <w:bottom w:val="single" w:sz="8" w:color="00B2E5"/>
            </w:tcBorders>
          </w:tcPr>
          <w:p>
            <w:pPr>
              <w:jc w:val="right"/>
              <w:ind w:right="42"/>
              <w:spacing w:after="0" w:line="126" w:lineRule="exact"/>
              <w:rPr>
                <w:sz w:val="20"/>
                <w:szCs w:val="20"/>
                <w:color w:val="auto"/>
              </w:rPr>
            </w:pPr>
            <w:r>
              <w:rPr>
                <w:rFonts w:ascii="Arial" w:cs="Arial" w:eastAsia="Arial" w:hAnsi="Arial"/>
                <w:sz w:val="12"/>
                <w:szCs w:val="12"/>
                <w:color w:val="auto"/>
              </w:rPr>
              <w:t>42.9%</w:t>
            </w:r>
          </w:p>
        </w:tc>
      </w:tr>
      <w:tr>
        <w:trPr>
          <w:trHeight w:val="126"/>
        </w:trPr>
        <w:tc>
          <w:tcPr>
            <w:tcW w:w="4780" w:type="dxa"/>
            <w:vAlign w:val="bottom"/>
            <w:tcBorders>
              <w:bottom w:val="single" w:sz="8" w:color="00B2E5"/>
              <w:right w:val="single" w:sz="8" w:color="00B2E5"/>
            </w:tcBorders>
            <w:gridSpan w:val="2"/>
          </w:tcPr>
          <w:p>
            <w:pPr>
              <w:spacing w:after="0" w:line="126" w:lineRule="exact"/>
              <w:rPr>
                <w:sz w:val="20"/>
                <w:szCs w:val="20"/>
                <w:color w:val="auto"/>
              </w:rPr>
            </w:pPr>
            <w:r>
              <w:rPr>
                <w:rFonts w:ascii="Arial" w:cs="Arial" w:eastAsia="Arial" w:hAnsi="Arial"/>
                <w:sz w:val="12"/>
                <w:szCs w:val="12"/>
                <w:color w:val="auto"/>
              </w:rPr>
              <w:t>Randall A. Wotring</w:t>
            </w:r>
          </w:p>
        </w:tc>
        <w:tc>
          <w:tcPr>
            <w:tcW w:w="320" w:type="dxa"/>
            <w:vAlign w:val="bottom"/>
            <w:tcBorders>
              <w:bottom w:val="single" w:sz="8" w:color="00B2E5"/>
            </w:tcBorders>
          </w:tcPr>
          <w:p>
            <w:pPr>
              <w:jc w:val="right"/>
              <w:ind w:right="81"/>
              <w:spacing w:after="0" w:line="126"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00B2E5"/>
              <w:right w:val="single" w:sz="8" w:color="00B2E5"/>
            </w:tcBorders>
          </w:tcPr>
          <w:p>
            <w:pPr>
              <w:jc w:val="right"/>
              <w:ind w:right="182"/>
              <w:spacing w:after="0" w:line="126" w:lineRule="exact"/>
              <w:rPr>
                <w:sz w:val="20"/>
                <w:szCs w:val="20"/>
                <w:color w:val="auto"/>
              </w:rPr>
            </w:pPr>
            <w:r>
              <w:rPr>
                <w:rFonts w:ascii="Arial" w:cs="Arial" w:eastAsia="Arial" w:hAnsi="Arial"/>
                <w:sz w:val="12"/>
                <w:szCs w:val="12"/>
                <w:color w:val="auto"/>
              </w:rPr>
              <w:t>2,750,000</w:t>
            </w:r>
          </w:p>
        </w:tc>
        <w:tc>
          <w:tcPr>
            <w:tcW w:w="300" w:type="dxa"/>
            <w:vAlign w:val="bottom"/>
            <w:tcBorders>
              <w:bottom w:val="single" w:sz="8" w:color="00B2E5"/>
            </w:tcBorders>
          </w:tcPr>
          <w:p>
            <w:pPr>
              <w:jc w:val="right"/>
              <w:ind w:right="81"/>
              <w:spacing w:after="0" w:line="126"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00B2E5"/>
              <w:right w:val="single" w:sz="8" w:color="00B2E5"/>
            </w:tcBorders>
          </w:tcPr>
          <w:p>
            <w:pPr>
              <w:jc w:val="right"/>
              <w:ind w:right="182"/>
              <w:spacing w:after="0" w:line="126" w:lineRule="exact"/>
              <w:rPr>
                <w:sz w:val="20"/>
                <w:szCs w:val="20"/>
                <w:color w:val="auto"/>
              </w:rPr>
            </w:pPr>
            <w:r>
              <w:rPr>
                <w:rFonts w:ascii="Arial" w:cs="Arial" w:eastAsia="Arial" w:hAnsi="Arial"/>
                <w:sz w:val="12"/>
                <w:szCs w:val="12"/>
                <w:color w:val="auto"/>
              </w:rPr>
              <w:t>2,750,000</w:t>
            </w:r>
          </w:p>
        </w:tc>
        <w:tc>
          <w:tcPr>
            <w:tcW w:w="1120" w:type="dxa"/>
            <w:vAlign w:val="bottom"/>
            <w:tcBorders>
              <w:bottom w:val="single" w:sz="8" w:color="00B2E5"/>
            </w:tcBorders>
          </w:tcPr>
          <w:p>
            <w:pPr>
              <w:jc w:val="right"/>
              <w:ind w:right="42"/>
              <w:spacing w:after="0" w:line="126" w:lineRule="exact"/>
              <w:rPr>
                <w:sz w:val="20"/>
                <w:szCs w:val="20"/>
                <w:color w:val="auto"/>
              </w:rPr>
            </w:pPr>
            <w:r>
              <w:rPr>
                <w:rFonts w:ascii="Arial" w:cs="Arial" w:eastAsia="Arial" w:hAnsi="Arial"/>
                <w:sz w:val="12"/>
                <w:szCs w:val="12"/>
                <w:color w:val="auto"/>
              </w:rPr>
              <w:t>0.0%</w:t>
            </w:r>
          </w:p>
        </w:tc>
      </w:tr>
      <w:tr>
        <w:trPr>
          <w:trHeight w:val="126"/>
        </w:trPr>
        <w:tc>
          <w:tcPr>
            <w:tcW w:w="4780" w:type="dxa"/>
            <w:vAlign w:val="bottom"/>
            <w:tcBorders>
              <w:bottom w:val="single" w:sz="8" w:color="00B2E5"/>
              <w:right w:val="single" w:sz="8" w:color="00B2E5"/>
            </w:tcBorders>
            <w:gridSpan w:val="2"/>
          </w:tcPr>
          <w:p>
            <w:pPr>
              <w:spacing w:after="0" w:line="126" w:lineRule="exact"/>
              <w:rPr>
                <w:sz w:val="20"/>
                <w:szCs w:val="20"/>
                <w:color w:val="auto"/>
              </w:rPr>
            </w:pPr>
            <w:r>
              <w:rPr>
                <w:rFonts w:ascii="Arial" w:cs="Arial" w:eastAsia="Arial" w:hAnsi="Arial"/>
                <w:sz w:val="12"/>
                <w:szCs w:val="12"/>
                <w:color w:val="auto"/>
              </w:rPr>
              <w:t>Stephen J. Morriss</w:t>
            </w:r>
          </w:p>
        </w:tc>
        <w:tc>
          <w:tcPr>
            <w:tcW w:w="320" w:type="dxa"/>
            <w:vAlign w:val="bottom"/>
            <w:tcBorders>
              <w:bottom w:val="single" w:sz="8" w:color="00B2E5"/>
            </w:tcBorders>
          </w:tcPr>
          <w:p>
            <w:pPr>
              <w:jc w:val="right"/>
              <w:ind w:right="81"/>
              <w:spacing w:after="0" w:line="126"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00B2E5"/>
              <w:right w:val="single" w:sz="8" w:color="00B2E5"/>
            </w:tcBorders>
          </w:tcPr>
          <w:p>
            <w:pPr>
              <w:jc w:val="right"/>
              <w:ind w:right="182"/>
              <w:spacing w:after="0" w:line="126" w:lineRule="exact"/>
              <w:rPr>
                <w:sz w:val="20"/>
                <w:szCs w:val="20"/>
                <w:color w:val="auto"/>
              </w:rPr>
            </w:pPr>
            <w:r>
              <w:rPr>
                <w:rFonts w:ascii="Arial" w:cs="Arial" w:eastAsia="Arial" w:hAnsi="Arial"/>
                <w:sz w:val="12"/>
                <w:szCs w:val="12"/>
                <w:color w:val="auto"/>
              </w:rPr>
              <w:t>1,000,000</w:t>
            </w:r>
          </w:p>
        </w:tc>
        <w:tc>
          <w:tcPr>
            <w:tcW w:w="300" w:type="dxa"/>
            <w:vAlign w:val="bottom"/>
            <w:tcBorders>
              <w:bottom w:val="single" w:sz="8" w:color="00B2E5"/>
            </w:tcBorders>
          </w:tcPr>
          <w:p>
            <w:pPr>
              <w:jc w:val="right"/>
              <w:ind w:right="81"/>
              <w:spacing w:after="0" w:line="126"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00B2E5"/>
              <w:right w:val="single" w:sz="8" w:color="00B2E5"/>
            </w:tcBorders>
          </w:tcPr>
          <w:p>
            <w:pPr>
              <w:jc w:val="right"/>
              <w:ind w:right="182"/>
              <w:spacing w:after="0" w:line="126" w:lineRule="exact"/>
              <w:rPr>
                <w:sz w:val="20"/>
                <w:szCs w:val="20"/>
                <w:color w:val="auto"/>
              </w:rPr>
            </w:pPr>
            <w:r>
              <w:rPr>
                <w:rFonts w:ascii="Arial" w:cs="Arial" w:eastAsia="Arial" w:hAnsi="Arial"/>
                <w:sz w:val="12"/>
                <w:szCs w:val="12"/>
                <w:color w:val="auto"/>
              </w:rPr>
              <w:t>1,000,000</w:t>
            </w:r>
          </w:p>
        </w:tc>
        <w:tc>
          <w:tcPr>
            <w:tcW w:w="1120" w:type="dxa"/>
            <w:vAlign w:val="bottom"/>
            <w:tcBorders>
              <w:bottom w:val="single" w:sz="8" w:color="00B2E5"/>
            </w:tcBorders>
          </w:tcPr>
          <w:p>
            <w:pPr>
              <w:jc w:val="right"/>
              <w:ind w:right="42"/>
              <w:spacing w:after="0" w:line="126" w:lineRule="exact"/>
              <w:rPr>
                <w:sz w:val="20"/>
                <w:szCs w:val="20"/>
                <w:color w:val="auto"/>
              </w:rPr>
            </w:pPr>
            <w:r>
              <w:rPr>
                <w:rFonts w:ascii="Arial" w:cs="Arial" w:eastAsia="Arial" w:hAnsi="Arial"/>
                <w:sz w:val="12"/>
                <w:szCs w:val="12"/>
                <w:color w:val="auto"/>
              </w:rPr>
              <w:t>0.0%</w:t>
            </w:r>
          </w:p>
        </w:tc>
      </w:tr>
      <w:tr>
        <w:trPr>
          <w:trHeight w:val="126"/>
        </w:trPr>
        <w:tc>
          <w:tcPr>
            <w:tcW w:w="4780" w:type="dxa"/>
            <w:vAlign w:val="bottom"/>
            <w:tcBorders>
              <w:right w:val="single" w:sz="8" w:color="00B2E5"/>
            </w:tcBorders>
            <w:gridSpan w:val="2"/>
          </w:tcPr>
          <w:p>
            <w:pPr>
              <w:spacing w:after="0" w:line="126" w:lineRule="exact"/>
              <w:rPr>
                <w:sz w:val="20"/>
                <w:szCs w:val="20"/>
                <w:color w:val="auto"/>
              </w:rPr>
            </w:pPr>
            <w:r>
              <w:rPr>
                <w:rFonts w:ascii="Arial" w:cs="Arial" w:eastAsia="Arial" w:hAnsi="Arial"/>
                <w:sz w:val="12"/>
                <w:szCs w:val="12"/>
                <w:color w:val="auto"/>
              </w:rPr>
              <w:t>Michael S. Burke</w:t>
            </w:r>
          </w:p>
        </w:tc>
        <w:tc>
          <w:tcPr>
            <w:tcW w:w="320" w:type="dxa"/>
            <w:vAlign w:val="bottom"/>
          </w:tcPr>
          <w:p>
            <w:pPr>
              <w:jc w:val="right"/>
              <w:ind w:right="81"/>
              <w:spacing w:after="0" w:line="126" w:lineRule="exact"/>
              <w:rPr>
                <w:sz w:val="20"/>
                <w:szCs w:val="20"/>
                <w:color w:val="auto"/>
              </w:rPr>
            </w:pPr>
            <w:r>
              <w:rPr>
                <w:rFonts w:ascii="Arial" w:cs="Arial" w:eastAsia="Arial" w:hAnsi="Arial"/>
                <w:sz w:val="12"/>
                <w:szCs w:val="12"/>
                <w:color w:val="auto"/>
              </w:rPr>
              <w:t>$</w:t>
            </w:r>
          </w:p>
        </w:tc>
        <w:tc>
          <w:tcPr>
            <w:tcW w:w="980" w:type="dxa"/>
            <w:vAlign w:val="bottom"/>
            <w:tcBorders>
              <w:right w:val="single" w:sz="8" w:color="00B2E5"/>
            </w:tcBorders>
          </w:tcPr>
          <w:p>
            <w:pPr>
              <w:jc w:val="right"/>
              <w:ind w:right="182"/>
              <w:spacing w:after="0" w:line="126" w:lineRule="exact"/>
              <w:rPr>
                <w:sz w:val="20"/>
                <w:szCs w:val="20"/>
                <w:color w:val="auto"/>
              </w:rPr>
            </w:pPr>
            <w:r>
              <w:rPr>
                <w:rFonts w:ascii="Arial" w:cs="Arial" w:eastAsia="Arial" w:hAnsi="Arial"/>
                <w:sz w:val="12"/>
                <w:szCs w:val="12"/>
                <w:color w:val="auto"/>
              </w:rPr>
              <w:t>11,000,000</w:t>
            </w:r>
          </w:p>
        </w:tc>
        <w:tc>
          <w:tcPr>
            <w:tcW w:w="300" w:type="dxa"/>
            <w:vAlign w:val="bottom"/>
          </w:tcPr>
          <w:p>
            <w:pPr>
              <w:spacing w:after="0"/>
              <w:rPr>
                <w:sz w:val="10"/>
                <w:szCs w:val="10"/>
                <w:color w:val="auto"/>
              </w:rPr>
            </w:pPr>
          </w:p>
        </w:tc>
        <w:tc>
          <w:tcPr>
            <w:tcW w:w="980" w:type="dxa"/>
            <w:vAlign w:val="bottom"/>
            <w:tcBorders>
              <w:right w:val="single" w:sz="8" w:color="00B2E5"/>
            </w:tcBorders>
          </w:tcPr>
          <w:p>
            <w:pPr>
              <w:jc w:val="right"/>
              <w:ind w:right="182"/>
              <w:spacing w:after="0" w:line="126"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line="126" w:lineRule="exact"/>
              <w:rPr>
                <w:sz w:val="20"/>
                <w:szCs w:val="20"/>
                <w:color w:val="auto"/>
              </w:rPr>
            </w:pPr>
            <w:r>
              <w:rPr>
                <w:rFonts w:ascii="Arial" w:cs="Arial" w:eastAsia="Arial" w:hAnsi="Arial"/>
                <w:sz w:val="12"/>
                <w:szCs w:val="12"/>
                <w:color w:val="auto"/>
              </w:rPr>
              <w:t>–100%</w:t>
            </w:r>
          </w:p>
        </w:tc>
      </w:tr>
      <w:tr>
        <w:trPr>
          <w:trHeight w:val="20"/>
        </w:trPr>
        <w:tc>
          <w:tcPr>
            <w:tcW w:w="20" w:type="dxa"/>
            <w:vAlign w:val="bottom"/>
          </w:tcPr>
          <w:p>
            <w:pPr>
              <w:spacing w:after="0" w:line="20" w:lineRule="exact"/>
              <w:rPr>
                <w:sz w:val="1"/>
                <w:szCs w:val="1"/>
                <w:color w:val="auto"/>
              </w:rPr>
            </w:pPr>
          </w:p>
        </w:tc>
        <w:tc>
          <w:tcPr>
            <w:tcW w:w="4760" w:type="dxa"/>
            <w:vAlign w:val="bottom"/>
            <w:tcBorders>
              <w:right w:val="single" w:sz="8" w:color="00B2E5"/>
            </w:tcBorders>
            <w:shd w:val="clear" w:color="auto" w:fill="00B2E5"/>
          </w:tcPr>
          <w:p>
            <w:pPr>
              <w:spacing w:after="0" w:line="20" w:lineRule="exact"/>
              <w:rPr>
                <w:sz w:val="1"/>
                <w:szCs w:val="1"/>
                <w:color w:val="auto"/>
              </w:rPr>
            </w:pPr>
          </w:p>
        </w:tc>
        <w:tc>
          <w:tcPr>
            <w:tcW w:w="320" w:type="dxa"/>
            <w:vAlign w:val="bottom"/>
            <w:shd w:val="clear" w:color="auto" w:fill="00B2E5"/>
          </w:tcPr>
          <w:p>
            <w:pPr>
              <w:spacing w:after="0" w:line="20" w:lineRule="exact"/>
              <w:rPr>
                <w:sz w:val="1"/>
                <w:szCs w:val="1"/>
                <w:color w:val="auto"/>
              </w:rPr>
            </w:pPr>
          </w:p>
        </w:tc>
        <w:tc>
          <w:tcPr>
            <w:tcW w:w="980" w:type="dxa"/>
            <w:vAlign w:val="bottom"/>
            <w:tcBorders>
              <w:right w:val="single" w:sz="8" w:color="00B2E5"/>
            </w:tcBorders>
            <w:shd w:val="clear" w:color="auto" w:fill="00B2E5"/>
          </w:tcPr>
          <w:p>
            <w:pPr>
              <w:spacing w:after="0" w:line="20" w:lineRule="exact"/>
              <w:rPr>
                <w:sz w:val="1"/>
                <w:szCs w:val="1"/>
                <w:color w:val="auto"/>
              </w:rPr>
            </w:pPr>
          </w:p>
        </w:tc>
        <w:tc>
          <w:tcPr>
            <w:tcW w:w="300" w:type="dxa"/>
            <w:vAlign w:val="bottom"/>
            <w:shd w:val="clear" w:color="auto" w:fill="00B2E5"/>
          </w:tcPr>
          <w:p>
            <w:pPr>
              <w:spacing w:after="0" w:line="20" w:lineRule="exact"/>
              <w:rPr>
                <w:sz w:val="1"/>
                <w:szCs w:val="1"/>
                <w:color w:val="auto"/>
              </w:rPr>
            </w:pPr>
          </w:p>
        </w:tc>
        <w:tc>
          <w:tcPr>
            <w:tcW w:w="980" w:type="dxa"/>
            <w:vAlign w:val="bottom"/>
            <w:tcBorders>
              <w:right w:val="single" w:sz="8" w:color="00B2E5"/>
            </w:tcBorders>
            <w:shd w:val="clear" w:color="auto" w:fill="00B2E5"/>
          </w:tcPr>
          <w:p>
            <w:pPr>
              <w:spacing w:after="0" w:line="20" w:lineRule="exact"/>
              <w:rPr>
                <w:sz w:val="1"/>
                <w:szCs w:val="1"/>
                <w:color w:val="auto"/>
              </w:rPr>
            </w:pPr>
          </w:p>
        </w:tc>
        <w:tc>
          <w:tcPr>
            <w:tcW w:w="1120" w:type="dxa"/>
            <w:vAlign w:val="bottom"/>
            <w:shd w:val="clear" w:color="auto" w:fill="00B2E5"/>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For fiscal year 2020, each NEO's long-term incentive equity award was comprised of the following:</w:t>
      </w:r>
    </w:p>
    <w:p>
      <w:pPr>
        <w:sectPr>
          <w:pgSz w:w="11900" w:h="16838" w:orient="portrait"/>
          <w:cols w:equalWidth="0" w:num="1">
            <w:col w:w="11300"/>
          </w:cols>
          <w:pgMar w:left="300" w:top="127" w:right="299" w:bottom="1440" w:gutter="0" w:footer="0" w:header="0"/>
        </w:sectPr>
      </w:pPr>
    </w:p>
    <w:p>
      <w:pPr>
        <w:spacing w:after="0" w:line="257" w:lineRule="exact"/>
        <w:rPr>
          <w:sz w:val="20"/>
          <w:szCs w:val="20"/>
          <w:color w:val="auto"/>
        </w:rPr>
      </w:pPr>
    </w:p>
    <w:p>
      <w:pPr>
        <w:ind w:left="1340"/>
        <w:spacing w:after="0"/>
        <w:rPr>
          <w:sz w:val="20"/>
          <w:szCs w:val="20"/>
          <w:color w:val="auto"/>
        </w:rPr>
      </w:pPr>
      <w:r>
        <w:rPr>
          <w:rFonts w:ascii="Arial" w:cs="Arial" w:eastAsia="Arial" w:hAnsi="Arial"/>
          <w:sz w:val="10"/>
          <w:szCs w:val="10"/>
          <w:b w:val="1"/>
          <w:bCs w:val="1"/>
          <w:color w:val="auto"/>
        </w:rPr>
        <w:t>Type</w:t>
      </w:r>
    </w:p>
    <w:p>
      <w:pPr>
        <w:spacing w:after="0" w:line="21"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PEP</w:t>
      </w:r>
    </w:p>
    <w:p>
      <w:pPr>
        <w:spacing w:after="0" w:line="397"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RSU</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Weighting</w:t>
      </w:r>
    </w:p>
    <w:p>
      <w:pPr>
        <w:spacing w:after="0" w:line="6" w:lineRule="exact"/>
        <w:rPr>
          <w:sz w:val="20"/>
          <w:szCs w:val="20"/>
          <w:color w:val="auto"/>
        </w:rPr>
      </w:pPr>
    </w:p>
    <w:p>
      <w:pPr>
        <w:spacing w:after="0"/>
        <w:tabs>
          <w:tab w:leader="none" w:pos="2760" w:val="left"/>
        </w:tabs>
        <w:rPr>
          <w:sz w:val="20"/>
          <w:szCs w:val="20"/>
          <w:color w:val="auto"/>
        </w:rPr>
      </w:pPr>
      <w:r>
        <w:rPr>
          <w:rFonts w:ascii="Arial" w:cs="Arial" w:eastAsia="Arial" w:hAnsi="Arial"/>
          <w:sz w:val="10"/>
          <w:szCs w:val="10"/>
          <w:b w:val="1"/>
          <w:bCs w:val="1"/>
          <w:color w:val="auto"/>
        </w:rPr>
        <w:t>Percentage</w:t>
      </w:r>
      <w:r>
        <w:rPr>
          <w:sz w:val="20"/>
          <w:szCs w:val="20"/>
          <w:color w:val="auto"/>
        </w:rPr>
        <w:tab/>
      </w:r>
      <w:r>
        <w:rPr>
          <w:rFonts w:ascii="Arial" w:cs="Arial" w:eastAsia="Arial" w:hAnsi="Arial"/>
          <w:sz w:val="10"/>
          <w:szCs w:val="10"/>
          <w:b w:val="1"/>
          <w:bCs w:val="1"/>
          <w:color w:val="auto"/>
        </w:rPr>
        <w:t>Performance Measures and Vesting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-5080</wp:posOffset>
            </wp:positionV>
            <wp:extent cx="5382895" cy="4514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382895" cy="451485"/>
                    </a:xfrm>
                    <a:prstGeom prst="rect">
                      <a:avLst/>
                    </a:prstGeom>
                    <a:noFill/>
                  </pic:spPr>
                </pic:pic>
              </a:graphicData>
            </a:graphic>
          </wp:anchor>
        </w:drawing>
      </w:r>
    </w:p>
    <w:p>
      <w:pPr>
        <w:ind w:left="140"/>
        <w:spacing w:after="0"/>
        <w:tabs>
          <w:tab w:leader="none" w:pos="1180" w:val="left"/>
        </w:tabs>
        <w:rPr>
          <w:sz w:val="20"/>
          <w:szCs w:val="20"/>
          <w:color w:val="auto"/>
        </w:rPr>
      </w:pPr>
      <w:r>
        <w:rPr>
          <w:rFonts w:ascii="Arial" w:cs="Arial" w:eastAsia="Arial" w:hAnsi="Arial"/>
          <w:sz w:val="12"/>
          <w:szCs w:val="12"/>
          <w:color w:val="auto"/>
        </w:rPr>
        <w:t>60%</w:t>
      </w:r>
      <w:r>
        <w:rPr>
          <w:sz w:val="20"/>
          <w:szCs w:val="20"/>
          <w:color w:val="auto"/>
        </w:rPr>
        <w:tab/>
      </w:r>
      <w:r>
        <w:rPr>
          <w:rFonts w:ascii="Arial" w:cs="Arial" w:eastAsia="Arial" w:hAnsi="Arial"/>
          <w:sz w:val="12"/>
          <w:szCs w:val="12"/>
          <w:color w:val="auto"/>
        </w:rPr>
        <w:t>Metrics:</w:t>
      </w:r>
    </w:p>
    <w:p>
      <w:pPr>
        <w:ind w:left="1420"/>
        <w:spacing w:after="0"/>
        <w:rPr>
          <w:sz w:val="20"/>
          <w:szCs w:val="20"/>
          <w:color w:val="auto"/>
        </w:rPr>
      </w:pPr>
      <w:r>
        <w:rPr>
          <w:rFonts w:ascii="Arial" w:cs="Arial" w:eastAsia="Arial" w:hAnsi="Arial"/>
          <w:sz w:val="12"/>
          <w:szCs w:val="12"/>
          <w:color w:val="auto"/>
        </w:rPr>
        <w:t>– 50% to vest based on 3-year average ROIC achievements</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 50% to vest based on 3-year cumulative attributable Free Cash Flow achievements</w:t>
      </w:r>
    </w:p>
    <w:p>
      <w:pPr>
        <w:spacing w:after="0" w:line="33" w:lineRule="exact"/>
        <w:rPr>
          <w:sz w:val="20"/>
          <w:szCs w:val="20"/>
          <w:color w:val="auto"/>
        </w:rPr>
      </w:pPr>
    </w:p>
    <w:tbl>
      <w:tblPr>
        <w:tblLayout w:type="fixed"/>
        <w:tblInd w:w="140" w:type="dxa"/>
        <w:tblCellMar>
          <w:top w:w="0" w:type="dxa"/>
          <w:left w:w="0" w:type="dxa"/>
          <w:bottom w:w="0" w:type="dxa"/>
          <w:right w:w="0" w:type="dxa"/>
        </w:tblCellMar>
      </w:tblPr>
      <w:tr>
        <w:trPr>
          <w:trHeight w:val="159"/>
        </w:trPr>
        <w:tc>
          <w:tcPr>
            <w:tcW w:w="640" w:type="dxa"/>
            <w:vAlign w:val="bottom"/>
          </w:tcPr>
          <w:p>
            <w:pPr>
              <w:jc w:val="right"/>
              <w:ind w:right="341"/>
              <w:spacing w:after="0"/>
              <w:rPr>
                <w:sz w:val="20"/>
                <w:szCs w:val="20"/>
                <w:color w:val="auto"/>
              </w:rPr>
            </w:pPr>
            <w:r>
              <w:rPr>
                <w:rFonts w:ascii="Arial" w:cs="Arial" w:eastAsia="Arial" w:hAnsi="Arial"/>
                <w:sz w:val="12"/>
                <w:szCs w:val="12"/>
                <w:color w:val="auto"/>
                <w:w w:val="91"/>
              </w:rPr>
              <w:t>40%</w:t>
            </w:r>
          </w:p>
        </w:tc>
        <w:tc>
          <w:tcPr>
            <w:tcW w:w="4860" w:type="dxa"/>
            <w:vAlign w:val="bottom"/>
          </w:tcPr>
          <w:p>
            <w:pPr>
              <w:ind w:left="420"/>
              <w:spacing w:after="0"/>
              <w:rPr>
                <w:sz w:val="20"/>
                <w:szCs w:val="20"/>
                <w:color w:val="auto"/>
              </w:rPr>
            </w:pPr>
            <w:r>
              <w:rPr>
                <w:rFonts w:ascii="Arial" w:cs="Arial" w:eastAsia="Arial" w:hAnsi="Arial"/>
                <w:sz w:val="12"/>
                <w:szCs w:val="12"/>
                <w:color w:val="auto"/>
                <w:w w:val="98"/>
              </w:rPr>
              <w:t>Continued service over 3-years (except in the case of certain qualifying terminations)</w:t>
            </w:r>
          </w:p>
        </w:tc>
      </w:tr>
    </w:tbl>
    <w:p>
      <w:pPr>
        <w:spacing w:after="0" w:line="118" w:lineRule="exact"/>
        <w:rPr>
          <w:sz w:val="20"/>
          <w:szCs w:val="20"/>
          <w:color w:val="auto"/>
        </w:rPr>
      </w:pPr>
    </w:p>
    <w:p>
      <w:pPr>
        <w:sectPr>
          <w:pgSz w:w="11900" w:h="16838" w:orient="portrait"/>
          <w:cols w:equalWidth="0" w:num="2">
            <w:col w:w="2400" w:space="720"/>
            <w:col w:w="8180"/>
          </w:cols>
          <w:pgMar w:left="300" w:top="127" w:right="299" w:bottom="1440" w:gutter="0" w:footer="0" w:header="0"/>
          <w:type w:val="continuous"/>
        </w:sectPr>
      </w:pPr>
    </w:p>
    <w:p>
      <w:pPr>
        <w:spacing w:after="0"/>
        <w:rPr>
          <w:sz w:val="20"/>
          <w:szCs w:val="20"/>
          <w:color w:val="auto"/>
        </w:rPr>
      </w:pPr>
      <w:r>
        <w:rPr>
          <w:rFonts w:ascii="Arial" w:cs="Arial" w:eastAsia="Arial" w:hAnsi="Arial"/>
          <w:sz w:val="11"/>
          <w:szCs w:val="11"/>
          <w:color w:val="auto"/>
        </w:rPr>
        <w:t>As to each PEP metric, because pre-established targets are competitively sensitive, they have not been disclosed; however, we note that the applicable targets aligned with guidance to shareholders.</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type w:val="continuous"/>
        </w:sectPr>
      </w:pPr>
    </w:p>
    <w:bookmarkStart w:id="79" w:name="page80"/>
    <w:bookmarkEnd w:id="79"/>
    <w:p>
      <w:pPr>
        <w:ind w:left="7"/>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3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00B2E5"/>
        </w:rPr>
        <w:t>Fiscal Year 2021 Long-Term Incentive Design Changes</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2"/>
          <w:szCs w:val="12"/>
          <w:color w:val="auto"/>
        </w:rPr>
        <w:t>In response to stockholder feedback and a continuous focus on aligning our incentives with our long-term strategy, the Compensation Committee adopted the following Fiscal Year 2021 performance metrics for our</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2"/>
          <w:szCs w:val="12"/>
          <w:color w:val="auto"/>
        </w:rPr>
        <w:t>NEOs, each weighted equally:</w:t>
      </w:r>
    </w:p>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118"/>
        </w:trPr>
        <w:tc>
          <w:tcPr>
            <w:tcW w:w="3040" w:type="dxa"/>
            <w:vAlign w:val="bottom"/>
            <w:tcBorders>
              <w:bottom w:val="single" w:sz="8" w:color="00B2E5"/>
            </w:tcBorders>
          </w:tcPr>
          <w:p>
            <w:pPr>
              <w:jc w:val="right"/>
              <w:ind w:right="1527"/>
              <w:spacing w:after="0"/>
              <w:rPr>
                <w:sz w:val="20"/>
                <w:szCs w:val="20"/>
                <w:color w:val="auto"/>
              </w:rPr>
            </w:pPr>
            <w:r>
              <w:rPr>
                <w:rFonts w:ascii="Arial" w:cs="Arial" w:eastAsia="Arial" w:hAnsi="Arial"/>
                <w:sz w:val="10"/>
                <w:szCs w:val="10"/>
                <w:b w:val="1"/>
                <w:bCs w:val="1"/>
                <w:color w:val="auto"/>
              </w:rPr>
              <w:t>2020</w:t>
            </w:r>
          </w:p>
        </w:tc>
        <w:tc>
          <w:tcPr>
            <w:tcW w:w="3580" w:type="dxa"/>
            <w:vAlign w:val="bottom"/>
            <w:tcBorders>
              <w:bottom w:val="single" w:sz="8" w:color="00B2E5"/>
            </w:tcBorders>
          </w:tcPr>
          <w:p>
            <w:pPr>
              <w:ind w:left="1580"/>
              <w:spacing w:after="0"/>
              <w:rPr>
                <w:sz w:val="20"/>
                <w:szCs w:val="20"/>
                <w:color w:val="auto"/>
              </w:rPr>
            </w:pPr>
            <w:r>
              <w:rPr>
                <w:rFonts w:ascii="Arial" w:cs="Arial" w:eastAsia="Arial" w:hAnsi="Arial"/>
                <w:sz w:val="10"/>
                <w:szCs w:val="10"/>
                <w:b w:val="1"/>
                <w:bCs w:val="1"/>
                <w:color w:val="auto"/>
              </w:rPr>
              <w:t>2021</w:t>
            </w:r>
          </w:p>
        </w:tc>
        <w:tc>
          <w:tcPr>
            <w:tcW w:w="4680" w:type="dxa"/>
            <w:vAlign w:val="bottom"/>
            <w:tcBorders>
              <w:bottom w:val="single" w:sz="8" w:color="00B2E5"/>
            </w:tcBorders>
          </w:tcPr>
          <w:p>
            <w:pPr>
              <w:ind w:left="160"/>
              <w:spacing w:after="0"/>
              <w:rPr>
                <w:sz w:val="20"/>
                <w:szCs w:val="20"/>
                <w:color w:val="auto"/>
              </w:rPr>
            </w:pPr>
            <w:r>
              <w:rPr>
                <w:rFonts w:ascii="Arial" w:cs="Arial" w:eastAsia="Arial" w:hAnsi="Arial"/>
                <w:sz w:val="10"/>
                <w:szCs w:val="10"/>
                <w:b w:val="1"/>
                <w:bCs w:val="1"/>
                <w:color w:val="auto"/>
              </w:rPr>
              <w:t>Rationale</w:t>
            </w:r>
          </w:p>
        </w:tc>
      </w:tr>
      <w:tr>
        <w:trPr>
          <w:trHeight w:val="152"/>
        </w:trPr>
        <w:tc>
          <w:tcPr>
            <w:tcW w:w="3040" w:type="dxa"/>
            <w:vAlign w:val="bottom"/>
            <w:tcBorders>
              <w:right w:val="single" w:sz="8" w:color="00B2E5"/>
            </w:tcBorders>
          </w:tcPr>
          <w:p>
            <w:pPr>
              <w:spacing w:after="0" w:line="152" w:lineRule="exact"/>
              <w:rPr>
                <w:sz w:val="20"/>
                <w:szCs w:val="20"/>
                <w:color w:val="auto"/>
              </w:rPr>
            </w:pPr>
            <w:r>
              <w:rPr>
                <w:rFonts w:ascii="Arial" w:cs="Arial" w:eastAsia="Arial" w:hAnsi="Arial"/>
                <w:sz w:val="11"/>
                <w:szCs w:val="11"/>
                <w:color w:val="auto"/>
              </w:rPr>
              <w:t>Professional Services</w:t>
            </w:r>
            <w:r>
              <w:rPr>
                <w:rFonts w:ascii="Arial" w:cs="Arial" w:eastAsia="Arial" w:hAnsi="Arial"/>
                <w:sz w:val="17"/>
                <w:szCs w:val="17"/>
                <w:color w:val="auto"/>
                <w:vertAlign w:val="superscript"/>
              </w:rPr>
              <w:t>1</w:t>
            </w:r>
            <w:r>
              <w:rPr>
                <w:rFonts w:ascii="Arial" w:cs="Arial" w:eastAsia="Arial" w:hAnsi="Arial"/>
                <w:sz w:val="11"/>
                <w:szCs w:val="11"/>
                <w:color w:val="auto"/>
              </w:rPr>
              <w:t xml:space="preserve"> ROIC</w:t>
            </w:r>
            <w:r>
              <w:rPr>
                <w:rFonts w:ascii="Arial" w:cs="Arial" w:eastAsia="Arial" w:hAnsi="Arial"/>
                <w:sz w:val="17"/>
                <w:szCs w:val="17"/>
                <w:color w:val="auto"/>
                <w:vertAlign w:val="superscript"/>
              </w:rPr>
              <w:t>2</w:t>
            </w:r>
          </w:p>
        </w:tc>
        <w:tc>
          <w:tcPr>
            <w:tcW w:w="3580" w:type="dxa"/>
            <w:vAlign w:val="bottom"/>
            <w:tcBorders>
              <w:right w:val="single" w:sz="8" w:color="00B2E5"/>
            </w:tcBorders>
          </w:tcPr>
          <w:p>
            <w:pPr>
              <w:ind w:left="180"/>
              <w:spacing w:after="0" w:line="152" w:lineRule="exact"/>
              <w:rPr>
                <w:sz w:val="20"/>
                <w:szCs w:val="20"/>
                <w:color w:val="auto"/>
              </w:rPr>
            </w:pPr>
            <w:r>
              <w:rPr>
                <w:rFonts w:ascii="Arial" w:cs="Arial" w:eastAsia="Arial" w:hAnsi="Arial"/>
                <w:sz w:val="11"/>
                <w:szCs w:val="11"/>
                <w:color w:val="auto"/>
              </w:rPr>
              <w:t>Professional Services</w:t>
            </w:r>
            <w:r>
              <w:rPr>
                <w:rFonts w:ascii="Arial" w:cs="Arial" w:eastAsia="Arial" w:hAnsi="Arial"/>
                <w:sz w:val="17"/>
                <w:szCs w:val="17"/>
                <w:color w:val="auto"/>
                <w:vertAlign w:val="superscript"/>
              </w:rPr>
              <w:t>1</w:t>
            </w:r>
          </w:p>
        </w:tc>
        <w:tc>
          <w:tcPr>
            <w:tcW w:w="4680" w:type="dxa"/>
            <w:vAlign w:val="bottom"/>
          </w:tcPr>
          <w:p>
            <w:pPr>
              <w:ind w:left="160"/>
              <w:spacing w:after="0"/>
              <w:rPr>
                <w:sz w:val="20"/>
                <w:szCs w:val="20"/>
                <w:color w:val="auto"/>
              </w:rPr>
            </w:pPr>
            <w:r>
              <w:rPr>
                <w:rFonts w:ascii="Arial" w:cs="Arial" w:eastAsia="Arial" w:hAnsi="Arial"/>
                <w:sz w:val="12"/>
                <w:szCs w:val="12"/>
                <w:color w:val="auto"/>
              </w:rPr>
              <w:t>– Critical to achieving long-term profitable growth</w:t>
            </w:r>
          </w:p>
        </w:tc>
      </w:tr>
      <w:tr>
        <w:trPr>
          <w:trHeight w:val="174"/>
        </w:trPr>
        <w:tc>
          <w:tcPr>
            <w:tcW w:w="3040" w:type="dxa"/>
            <w:vAlign w:val="bottom"/>
            <w:tcBorders>
              <w:bottom w:val="single" w:sz="8" w:color="00B2E5"/>
              <w:right w:val="single" w:sz="8" w:color="00B2E5"/>
            </w:tcBorders>
          </w:tcPr>
          <w:p>
            <w:pPr>
              <w:spacing w:after="0"/>
              <w:rPr>
                <w:sz w:val="15"/>
                <w:szCs w:val="15"/>
                <w:color w:val="auto"/>
              </w:rPr>
            </w:pPr>
          </w:p>
        </w:tc>
        <w:tc>
          <w:tcPr>
            <w:tcW w:w="3580" w:type="dxa"/>
            <w:vAlign w:val="bottom"/>
            <w:tcBorders>
              <w:bottom w:val="single" w:sz="8" w:color="00B2E5"/>
              <w:right w:val="single" w:sz="8" w:color="00B2E5"/>
            </w:tcBorders>
          </w:tcPr>
          <w:p>
            <w:pPr>
              <w:ind w:left="180"/>
              <w:spacing w:after="0" w:line="174" w:lineRule="exact"/>
              <w:rPr>
                <w:sz w:val="20"/>
                <w:szCs w:val="20"/>
                <w:color w:val="auto"/>
              </w:rPr>
            </w:pPr>
            <w:r>
              <w:rPr>
                <w:rFonts w:ascii="Arial" w:cs="Arial" w:eastAsia="Arial" w:hAnsi="Arial"/>
                <w:sz w:val="12"/>
                <w:szCs w:val="12"/>
                <w:color w:val="auto"/>
              </w:rPr>
              <w:t>ROIC</w:t>
            </w:r>
            <w:r>
              <w:rPr>
                <w:rFonts w:ascii="Arial" w:cs="Arial" w:eastAsia="Arial" w:hAnsi="Arial"/>
                <w:sz w:val="19"/>
                <w:szCs w:val="19"/>
                <w:color w:val="auto"/>
                <w:vertAlign w:val="superscript"/>
              </w:rPr>
              <w:t>2</w:t>
            </w:r>
          </w:p>
        </w:tc>
        <w:tc>
          <w:tcPr>
            <w:tcW w:w="4680" w:type="dxa"/>
            <w:vAlign w:val="bottom"/>
            <w:tcBorders>
              <w:bottom w:val="single" w:sz="8" w:color="00B2E5"/>
            </w:tcBorders>
          </w:tcPr>
          <w:p>
            <w:pPr>
              <w:spacing w:after="0"/>
              <w:rPr>
                <w:sz w:val="15"/>
                <w:szCs w:val="15"/>
                <w:color w:val="auto"/>
              </w:rPr>
            </w:pPr>
          </w:p>
        </w:tc>
      </w:tr>
      <w:tr>
        <w:trPr>
          <w:trHeight w:val="141"/>
        </w:trPr>
        <w:tc>
          <w:tcPr>
            <w:tcW w:w="3040" w:type="dxa"/>
            <w:vAlign w:val="bottom"/>
            <w:tcBorders>
              <w:right w:val="single" w:sz="8" w:color="00B2E5"/>
            </w:tcBorders>
          </w:tcPr>
          <w:p>
            <w:pPr>
              <w:spacing w:after="0" w:line="142" w:lineRule="exact"/>
              <w:rPr>
                <w:sz w:val="20"/>
                <w:szCs w:val="20"/>
                <w:color w:val="auto"/>
              </w:rPr>
            </w:pPr>
            <w:r>
              <w:rPr>
                <w:rFonts w:ascii="Arial" w:cs="Arial" w:eastAsia="Arial" w:hAnsi="Arial"/>
                <w:sz w:val="10"/>
                <w:szCs w:val="10"/>
                <w:color w:val="auto"/>
              </w:rPr>
              <w:t>Professional Services</w:t>
            </w:r>
            <w:r>
              <w:rPr>
                <w:rFonts w:ascii="Arial" w:cs="Arial" w:eastAsia="Arial" w:hAnsi="Arial"/>
                <w:sz w:val="16"/>
                <w:szCs w:val="16"/>
                <w:color w:val="auto"/>
                <w:vertAlign w:val="superscript"/>
              </w:rPr>
              <w:t>1</w:t>
            </w:r>
          </w:p>
        </w:tc>
        <w:tc>
          <w:tcPr>
            <w:tcW w:w="3580" w:type="dxa"/>
            <w:vAlign w:val="bottom"/>
            <w:tcBorders>
              <w:right w:val="single" w:sz="8" w:color="00B2E5"/>
            </w:tcBorders>
          </w:tcPr>
          <w:p>
            <w:pPr>
              <w:spacing w:after="0"/>
              <w:rPr>
                <w:sz w:val="12"/>
                <w:szCs w:val="12"/>
                <w:color w:val="auto"/>
              </w:rPr>
            </w:pPr>
          </w:p>
        </w:tc>
        <w:tc>
          <w:tcPr>
            <w:tcW w:w="4680" w:type="dxa"/>
            <w:vAlign w:val="bottom"/>
          </w:tcPr>
          <w:p>
            <w:pPr>
              <w:ind w:left="160"/>
              <w:spacing w:after="0"/>
              <w:rPr>
                <w:sz w:val="20"/>
                <w:szCs w:val="20"/>
                <w:color w:val="auto"/>
              </w:rPr>
            </w:pPr>
            <w:r>
              <w:rPr>
                <w:rFonts w:ascii="Arial" w:cs="Arial" w:eastAsia="Arial" w:hAnsi="Arial"/>
                <w:sz w:val="12"/>
                <w:szCs w:val="12"/>
                <w:color w:val="auto"/>
              </w:rPr>
              <w:t>– Removing cash flow avoids duplicative metrics in short- and long-term incentives.</w:t>
            </w:r>
          </w:p>
        </w:tc>
      </w:tr>
      <w:tr>
        <w:trPr>
          <w:trHeight w:val="149"/>
        </w:trPr>
        <w:tc>
          <w:tcPr>
            <w:tcW w:w="3040" w:type="dxa"/>
            <w:vAlign w:val="bottom"/>
            <w:tcBorders>
              <w:bottom w:val="single" w:sz="8" w:color="00B2E5"/>
              <w:right w:val="single" w:sz="8" w:color="00B2E5"/>
            </w:tcBorders>
          </w:tcPr>
          <w:p>
            <w:pPr>
              <w:spacing w:after="0"/>
              <w:rPr>
                <w:sz w:val="20"/>
                <w:szCs w:val="20"/>
                <w:color w:val="auto"/>
              </w:rPr>
            </w:pPr>
            <w:r>
              <w:rPr>
                <w:rFonts w:ascii="Arial" w:cs="Arial" w:eastAsia="Arial" w:hAnsi="Arial"/>
                <w:sz w:val="12"/>
                <w:szCs w:val="12"/>
                <w:color w:val="auto"/>
              </w:rPr>
              <w:t>Attributable FCF</w:t>
            </w:r>
          </w:p>
        </w:tc>
        <w:tc>
          <w:tcPr>
            <w:tcW w:w="3580" w:type="dxa"/>
            <w:vAlign w:val="bottom"/>
            <w:tcBorders>
              <w:bottom w:val="single" w:sz="8" w:color="00B2E5"/>
              <w:right w:val="single" w:sz="8" w:color="00B2E5"/>
            </w:tcBorders>
          </w:tcPr>
          <w:p>
            <w:pPr>
              <w:spacing w:after="0"/>
              <w:rPr>
                <w:sz w:val="12"/>
                <w:szCs w:val="12"/>
                <w:color w:val="auto"/>
              </w:rPr>
            </w:pPr>
          </w:p>
        </w:tc>
        <w:tc>
          <w:tcPr>
            <w:tcW w:w="4680" w:type="dxa"/>
            <w:vAlign w:val="bottom"/>
            <w:tcBorders>
              <w:bottom w:val="single" w:sz="8" w:color="00B2E5"/>
            </w:tcBorders>
          </w:tcPr>
          <w:p>
            <w:pPr>
              <w:spacing w:after="0"/>
              <w:rPr>
                <w:sz w:val="12"/>
                <w:szCs w:val="12"/>
                <w:color w:val="auto"/>
              </w:rPr>
            </w:pPr>
          </w:p>
        </w:tc>
      </w:tr>
      <w:tr>
        <w:trPr>
          <w:trHeight w:val="126"/>
        </w:trPr>
        <w:tc>
          <w:tcPr>
            <w:tcW w:w="3040" w:type="dxa"/>
            <w:vAlign w:val="bottom"/>
            <w:tcBorders>
              <w:right w:val="single" w:sz="8" w:color="00B2E5"/>
            </w:tcBorders>
          </w:tcPr>
          <w:p>
            <w:pPr>
              <w:spacing w:after="0"/>
              <w:rPr>
                <w:sz w:val="10"/>
                <w:szCs w:val="10"/>
                <w:color w:val="auto"/>
              </w:rPr>
            </w:pPr>
          </w:p>
        </w:tc>
        <w:tc>
          <w:tcPr>
            <w:tcW w:w="3580" w:type="dxa"/>
            <w:vAlign w:val="bottom"/>
            <w:tcBorders>
              <w:right w:val="single" w:sz="8" w:color="00B2E5"/>
            </w:tcBorders>
          </w:tcPr>
          <w:p>
            <w:pPr>
              <w:ind w:left="180"/>
              <w:spacing w:after="0" w:line="126" w:lineRule="exact"/>
              <w:rPr>
                <w:sz w:val="20"/>
                <w:szCs w:val="20"/>
                <w:color w:val="auto"/>
              </w:rPr>
            </w:pPr>
            <w:r>
              <w:rPr>
                <w:rFonts w:ascii="Arial" w:cs="Arial" w:eastAsia="Arial" w:hAnsi="Arial"/>
                <w:sz w:val="9"/>
                <w:szCs w:val="9"/>
                <w:color w:val="auto"/>
              </w:rPr>
              <w:t>Professional Services</w:t>
            </w:r>
            <w:r>
              <w:rPr>
                <w:rFonts w:ascii="Arial" w:cs="Arial" w:eastAsia="Arial" w:hAnsi="Arial"/>
                <w:sz w:val="14"/>
                <w:szCs w:val="14"/>
                <w:color w:val="auto"/>
                <w:vertAlign w:val="superscript"/>
              </w:rPr>
              <w:t>1</w:t>
            </w:r>
          </w:p>
        </w:tc>
        <w:tc>
          <w:tcPr>
            <w:tcW w:w="4680" w:type="dxa"/>
            <w:vAlign w:val="bottom"/>
          </w:tcPr>
          <w:p>
            <w:pPr>
              <w:ind w:left="160"/>
              <w:spacing w:after="0" w:line="126" w:lineRule="exact"/>
              <w:rPr>
                <w:sz w:val="20"/>
                <w:szCs w:val="20"/>
                <w:color w:val="auto"/>
              </w:rPr>
            </w:pPr>
            <w:r>
              <w:rPr>
                <w:rFonts w:ascii="Arial" w:cs="Arial" w:eastAsia="Arial" w:hAnsi="Arial"/>
                <w:sz w:val="12"/>
                <w:szCs w:val="12"/>
                <w:color w:val="auto"/>
              </w:rPr>
              <w:t>– Adding EPS aligns with how our stockholders will measure our performance in the</w:t>
            </w:r>
          </w:p>
        </w:tc>
      </w:tr>
      <w:tr>
        <w:trPr>
          <w:trHeight w:val="164"/>
        </w:trPr>
        <w:tc>
          <w:tcPr>
            <w:tcW w:w="3040" w:type="dxa"/>
            <w:vAlign w:val="bottom"/>
            <w:tcBorders>
              <w:right w:val="single" w:sz="8" w:color="00B2E5"/>
            </w:tcBorders>
          </w:tcPr>
          <w:p>
            <w:pPr>
              <w:spacing w:after="0"/>
              <w:rPr>
                <w:sz w:val="14"/>
                <w:szCs w:val="14"/>
                <w:color w:val="auto"/>
              </w:rPr>
            </w:pPr>
          </w:p>
        </w:tc>
        <w:tc>
          <w:tcPr>
            <w:tcW w:w="3580" w:type="dxa"/>
            <w:vAlign w:val="bottom"/>
            <w:tcBorders>
              <w:right w:val="single" w:sz="8" w:color="00B2E5"/>
            </w:tcBorders>
          </w:tcPr>
          <w:p>
            <w:pPr>
              <w:ind w:left="180"/>
              <w:spacing w:after="0" w:line="164" w:lineRule="exact"/>
              <w:rPr>
                <w:sz w:val="20"/>
                <w:szCs w:val="20"/>
                <w:color w:val="auto"/>
              </w:rPr>
            </w:pPr>
            <w:r>
              <w:rPr>
                <w:rFonts w:ascii="Arial" w:cs="Arial" w:eastAsia="Arial" w:hAnsi="Arial"/>
                <w:sz w:val="12"/>
                <w:szCs w:val="12"/>
                <w:color w:val="auto"/>
              </w:rPr>
              <w:t>Adjusted EPS</w:t>
            </w:r>
            <w:r>
              <w:rPr>
                <w:rFonts w:ascii="Arial" w:cs="Arial" w:eastAsia="Arial" w:hAnsi="Arial"/>
                <w:sz w:val="19"/>
                <w:szCs w:val="19"/>
                <w:color w:val="auto"/>
                <w:vertAlign w:val="superscript"/>
              </w:rPr>
              <w:t>3</w:t>
            </w:r>
            <w:r>
              <w:rPr>
                <w:rFonts w:ascii="Arial" w:cs="Arial" w:eastAsia="Arial" w:hAnsi="Arial"/>
                <w:sz w:val="12"/>
                <w:szCs w:val="12"/>
                <w:color w:val="auto"/>
              </w:rPr>
              <w:t xml:space="preserve"> Growth</w:t>
            </w:r>
          </w:p>
        </w:tc>
        <w:tc>
          <w:tcPr>
            <w:tcW w:w="4680" w:type="dxa"/>
            <w:vAlign w:val="bottom"/>
          </w:tcPr>
          <w:p>
            <w:pPr>
              <w:ind w:left="260"/>
              <w:spacing w:after="0"/>
              <w:rPr>
                <w:sz w:val="20"/>
                <w:szCs w:val="20"/>
                <w:color w:val="auto"/>
              </w:rPr>
            </w:pPr>
            <w:r>
              <w:rPr>
                <w:rFonts w:ascii="Arial" w:cs="Arial" w:eastAsia="Arial" w:hAnsi="Arial"/>
                <w:sz w:val="12"/>
                <w:szCs w:val="12"/>
                <w:color w:val="auto"/>
              </w:rPr>
              <w:t>long-term. Stockholders had commented that they will increasingly value the</w:t>
            </w:r>
          </w:p>
        </w:tc>
      </w:tr>
      <w:tr>
        <w:trPr>
          <w:trHeight w:val="88"/>
        </w:trPr>
        <w:tc>
          <w:tcPr>
            <w:tcW w:w="3040" w:type="dxa"/>
            <w:vAlign w:val="bottom"/>
            <w:tcBorders>
              <w:right w:val="single" w:sz="8" w:color="00B2E5"/>
            </w:tcBorders>
          </w:tcPr>
          <w:p>
            <w:pPr>
              <w:spacing w:after="0"/>
              <w:rPr>
                <w:sz w:val="7"/>
                <w:szCs w:val="7"/>
                <w:color w:val="auto"/>
              </w:rPr>
            </w:pPr>
          </w:p>
        </w:tc>
        <w:tc>
          <w:tcPr>
            <w:tcW w:w="3580" w:type="dxa"/>
            <w:vAlign w:val="bottom"/>
            <w:tcBorders>
              <w:right w:val="single" w:sz="8" w:color="00B2E5"/>
            </w:tcBorders>
          </w:tcPr>
          <w:p>
            <w:pPr>
              <w:spacing w:after="0"/>
              <w:rPr>
                <w:sz w:val="7"/>
                <w:szCs w:val="7"/>
                <w:color w:val="auto"/>
              </w:rPr>
            </w:pPr>
          </w:p>
        </w:tc>
        <w:tc>
          <w:tcPr>
            <w:tcW w:w="4680" w:type="dxa"/>
            <w:vAlign w:val="bottom"/>
          </w:tcPr>
          <w:p>
            <w:pPr>
              <w:ind w:left="260"/>
              <w:spacing w:after="0" w:line="89" w:lineRule="exact"/>
              <w:rPr>
                <w:sz w:val="20"/>
                <w:szCs w:val="20"/>
                <w:color w:val="auto"/>
              </w:rPr>
            </w:pPr>
            <w:r>
              <w:rPr>
                <w:rFonts w:ascii="Arial" w:cs="Arial" w:eastAsia="Arial" w:hAnsi="Arial"/>
                <w:sz w:val="9"/>
                <w:szCs w:val="9"/>
                <w:color w:val="auto"/>
              </w:rPr>
              <w:t>Company on an EPS basis following the sales of our Management Services and at-</w:t>
            </w:r>
          </w:p>
        </w:tc>
      </w:tr>
      <w:tr>
        <w:trPr>
          <w:trHeight w:val="159"/>
        </w:trPr>
        <w:tc>
          <w:tcPr>
            <w:tcW w:w="3040" w:type="dxa"/>
            <w:vAlign w:val="bottom"/>
            <w:tcBorders>
              <w:right w:val="single" w:sz="8" w:color="00B2E5"/>
            </w:tcBorders>
          </w:tcPr>
          <w:p>
            <w:pPr>
              <w:spacing w:after="0"/>
              <w:rPr>
                <w:sz w:val="13"/>
                <w:szCs w:val="13"/>
                <w:color w:val="auto"/>
              </w:rPr>
            </w:pPr>
          </w:p>
        </w:tc>
        <w:tc>
          <w:tcPr>
            <w:tcW w:w="3580" w:type="dxa"/>
            <w:vAlign w:val="bottom"/>
            <w:tcBorders>
              <w:right w:val="single" w:sz="8" w:color="00B2E5"/>
            </w:tcBorders>
          </w:tcPr>
          <w:p>
            <w:pPr>
              <w:spacing w:after="0"/>
              <w:rPr>
                <w:sz w:val="13"/>
                <w:szCs w:val="13"/>
                <w:color w:val="auto"/>
              </w:rPr>
            </w:pPr>
          </w:p>
        </w:tc>
        <w:tc>
          <w:tcPr>
            <w:tcW w:w="4680" w:type="dxa"/>
            <w:vAlign w:val="bottom"/>
          </w:tcPr>
          <w:p>
            <w:pPr>
              <w:ind w:left="260"/>
              <w:spacing w:after="0"/>
              <w:rPr>
                <w:sz w:val="20"/>
                <w:szCs w:val="20"/>
                <w:color w:val="auto"/>
              </w:rPr>
            </w:pPr>
            <w:r>
              <w:rPr>
                <w:rFonts w:ascii="Arial" w:cs="Arial" w:eastAsia="Arial" w:hAnsi="Arial"/>
                <w:sz w:val="12"/>
                <w:szCs w:val="12"/>
                <w:color w:val="auto"/>
              </w:rPr>
              <w:t>risk businesses.</w:t>
            </w:r>
          </w:p>
        </w:tc>
      </w:tr>
      <w:tr>
        <w:trPr>
          <w:trHeight w:val="388"/>
        </w:trPr>
        <w:tc>
          <w:tcPr>
            <w:tcW w:w="3040" w:type="dxa"/>
            <w:vAlign w:val="bottom"/>
            <w:tcBorders>
              <w:right w:val="single" w:sz="8" w:color="00B2E5"/>
            </w:tcBorders>
          </w:tcPr>
          <w:p>
            <w:pPr>
              <w:spacing w:after="0"/>
              <w:rPr>
                <w:sz w:val="24"/>
                <w:szCs w:val="24"/>
                <w:color w:val="auto"/>
              </w:rPr>
            </w:pPr>
          </w:p>
        </w:tc>
        <w:tc>
          <w:tcPr>
            <w:tcW w:w="3580" w:type="dxa"/>
            <w:vAlign w:val="bottom"/>
            <w:tcBorders>
              <w:right w:val="single" w:sz="8" w:color="00B2E5"/>
            </w:tcBorders>
          </w:tcPr>
          <w:p>
            <w:pPr>
              <w:spacing w:after="0"/>
              <w:rPr>
                <w:sz w:val="24"/>
                <w:szCs w:val="24"/>
                <w:color w:val="auto"/>
              </w:rPr>
            </w:pPr>
          </w:p>
        </w:tc>
        <w:tc>
          <w:tcPr>
            <w:tcW w:w="4680" w:type="dxa"/>
            <w:vAlign w:val="bottom"/>
          </w:tcPr>
          <w:p>
            <w:pPr>
              <w:ind w:left="160"/>
              <w:spacing w:after="0"/>
              <w:rPr>
                <w:sz w:val="20"/>
                <w:szCs w:val="20"/>
                <w:color w:val="auto"/>
              </w:rPr>
            </w:pPr>
            <w:r>
              <w:rPr>
                <w:rFonts w:ascii="Arial" w:cs="Arial" w:eastAsia="Arial" w:hAnsi="Arial"/>
                <w:sz w:val="12"/>
                <w:szCs w:val="12"/>
                <w:color w:val="auto"/>
              </w:rPr>
              <w:t>– Excluding share repurchases from EPS growth results focuses NEOs on delivering</w:t>
            </w:r>
          </w:p>
        </w:tc>
      </w:tr>
      <w:tr>
        <w:trPr>
          <w:trHeight w:val="159"/>
        </w:trPr>
        <w:tc>
          <w:tcPr>
            <w:tcW w:w="3040" w:type="dxa"/>
            <w:vAlign w:val="bottom"/>
            <w:tcBorders>
              <w:right w:val="single" w:sz="8" w:color="00B2E5"/>
            </w:tcBorders>
          </w:tcPr>
          <w:p>
            <w:pPr>
              <w:spacing w:after="0"/>
              <w:rPr>
                <w:sz w:val="13"/>
                <w:szCs w:val="13"/>
                <w:color w:val="auto"/>
              </w:rPr>
            </w:pPr>
          </w:p>
        </w:tc>
        <w:tc>
          <w:tcPr>
            <w:tcW w:w="3580" w:type="dxa"/>
            <w:vAlign w:val="bottom"/>
            <w:tcBorders>
              <w:right w:val="single" w:sz="8" w:color="00B2E5"/>
            </w:tcBorders>
          </w:tcPr>
          <w:p>
            <w:pPr>
              <w:spacing w:after="0"/>
              <w:rPr>
                <w:sz w:val="13"/>
                <w:szCs w:val="13"/>
                <w:color w:val="auto"/>
              </w:rPr>
            </w:pPr>
          </w:p>
        </w:tc>
        <w:tc>
          <w:tcPr>
            <w:tcW w:w="4680" w:type="dxa"/>
            <w:vAlign w:val="bottom"/>
          </w:tcPr>
          <w:p>
            <w:pPr>
              <w:ind w:left="260"/>
              <w:spacing w:after="0"/>
              <w:rPr>
                <w:sz w:val="20"/>
                <w:szCs w:val="20"/>
                <w:color w:val="auto"/>
              </w:rPr>
            </w:pPr>
            <w:r>
              <w:rPr>
                <w:rFonts w:ascii="Arial" w:cs="Arial" w:eastAsia="Arial" w:hAnsi="Arial"/>
                <w:sz w:val="12"/>
                <w:szCs w:val="12"/>
                <w:color w:val="auto"/>
              </w:rPr>
              <w:t>underlying business growth.</w:t>
            </w:r>
          </w:p>
        </w:tc>
      </w:tr>
      <w:tr>
        <w:trPr>
          <w:trHeight w:val="388"/>
        </w:trPr>
        <w:tc>
          <w:tcPr>
            <w:tcW w:w="3040" w:type="dxa"/>
            <w:vAlign w:val="bottom"/>
            <w:tcBorders>
              <w:right w:val="single" w:sz="8" w:color="00B2E5"/>
            </w:tcBorders>
          </w:tcPr>
          <w:p>
            <w:pPr>
              <w:spacing w:after="0"/>
              <w:rPr>
                <w:sz w:val="24"/>
                <w:szCs w:val="24"/>
                <w:color w:val="auto"/>
              </w:rPr>
            </w:pPr>
          </w:p>
        </w:tc>
        <w:tc>
          <w:tcPr>
            <w:tcW w:w="3580" w:type="dxa"/>
            <w:vAlign w:val="bottom"/>
            <w:tcBorders>
              <w:right w:val="single" w:sz="8" w:color="00B2E5"/>
            </w:tcBorders>
          </w:tcPr>
          <w:p>
            <w:pPr>
              <w:spacing w:after="0"/>
              <w:rPr>
                <w:sz w:val="24"/>
                <w:szCs w:val="24"/>
                <w:color w:val="auto"/>
              </w:rPr>
            </w:pPr>
          </w:p>
        </w:tc>
        <w:tc>
          <w:tcPr>
            <w:tcW w:w="4680" w:type="dxa"/>
            <w:vAlign w:val="bottom"/>
          </w:tcPr>
          <w:p>
            <w:pPr>
              <w:ind w:left="160"/>
              <w:spacing w:after="0"/>
              <w:rPr>
                <w:sz w:val="20"/>
                <w:szCs w:val="20"/>
                <w:color w:val="auto"/>
              </w:rPr>
            </w:pPr>
            <w:r>
              <w:rPr>
                <w:rFonts w:ascii="Arial" w:cs="Arial" w:eastAsia="Arial" w:hAnsi="Arial"/>
                <w:sz w:val="12"/>
                <w:szCs w:val="12"/>
                <w:color w:val="auto"/>
                <w:w w:val="98"/>
              </w:rPr>
              <w:t>– EPS is preferable over Net Income as it also considers how executive decisions can</w:t>
            </w:r>
          </w:p>
        </w:tc>
      </w:tr>
      <w:tr>
        <w:trPr>
          <w:trHeight w:val="149"/>
        </w:trPr>
        <w:tc>
          <w:tcPr>
            <w:tcW w:w="3040" w:type="dxa"/>
            <w:vAlign w:val="bottom"/>
            <w:tcBorders>
              <w:bottom w:val="single" w:sz="8" w:color="00B2E5"/>
              <w:right w:val="single" w:sz="8" w:color="00B2E5"/>
            </w:tcBorders>
          </w:tcPr>
          <w:p>
            <w:pPr>
              <w:spacing w:after="0"/>
              <w:rPr>
                <w:sz w:val="12"/>
                <w:szCs w:val="12"/>
                <w:color w:val="auto"/>
              </w:rPr>
            </w:pPr>
          </w:p>
        </w:tc>
        <w:tc>
          <w:tcPr>
            <w:tcW w:w="3580" w:type="dxa"/>
            <w:vAlign w:val="bottom"/>
            <w:tcBorders>
              <w:bottom w:val="single" w:sz="8" w:color="00B2E5"/>
              <w:right w:val="single" w:sz="8" w:color="00B2E5"/>
            </w:tcBorders>
          </w:tcPr>
          <w:p>
            <w:pPr>
              <w:spacing w:after="0"/>
              <w:rPr>
                <w:sz w:val="12"/>
                <w:szCs w:val="12"/>
                <w:color w:val="auto"/>
              </w:rPr>
            </w:pPr>
          </w:p>
        </w:tc>
        <w:tc>
          <w:tcPr>
            <w:tcW w:w="4680" w:type="dxa"/>
            <w:vAlign w:val="bottom"/>
            <w:tcBorders>
              <w:bottom w:val="single" w:sz="8" w:color="00B2E5"/>
            </w:tcBorders>
          </w:tcPr>
          <w:p>
            <w:pPr>
              <w:ind w:left="260"/>
              <w:spacing w:after="0"/>
              <w:rPr>
                <w:sz w:val="20"/>
                <w:szCs w:val="20"/>
                <w:color w:val="auto"/>
              </w:rPr>
            </w:pPr>
            <w:r>
              <w:rPr>
                <w:rFonts w:ascii="Arial" w:cs="Arial" w:eastAsia="Arial" w:hAnsi="Arial"/>
                <w:sz w:val="12"/>
                <w:szCs w:val="12"/>
                <w:color w:val="auto"/>
              </w:rPr>
              <w:t>dilute shareholder interests.</w:t>
            </w:r>
          </w:p>
        </w:tc>
      </w:tr>
      <w:tr>
        <w:trPr>
          <w:trHeight w:val="105"/>
        </w:trPr>
        <w:tc>
          <w:tcPr>
            <w:tcW w:w="3040" w:type="dxa"/>
            <w:vAlign w:val="bottom"/>
            <w:tcBorders>
              <w:right w:val="single" w:sz="8" w:color="00B2E5"/>
            </w:tcBorders>
          </w:tcPr>
          <w:p>
            <w:pPr>
              <w:spacing w:after="0"/>
              <w:rPr>
                <w:sz w:val="9"/>
                <w:szCs w:val="9"/>
                <w:color w:val="auto"/>
              </w:rPr>
            </w:pPr>
          </w:p>
        </w:tc>
        <w:tc>
          <w:tcPr>
            <w:tcW w:w="3580" w:type="dxa"/>
            <w:vAlign w:val="bottom"/>
            <w:tcBorders>
              <w:right w:val="single" w:sz="8" w:color="00B2E5"/>
            </w:tcBorders>
          </w:tcPr>
          <w:p>
            <w:pPr>
              <w:ind w:left="180"/>
              <w:spacing w:after="0" w:line="105" w:lineRule="exact"/>
              <w:rPr>
                <w:sz w:val="20"/>
                <w:szCs w:val="20"/>
                <w:color w:val="auto"/>
              </w:rPr>
            </w:pPr>
            <w:r>
              <w:rPr>
                <w:rFonts w:ascii="Arial" w:cs="Arial" w:eastAsia="Arial" w:hAnsi="Arial"/>
                <w:sz w:val="12"/>
                <w:szCs w:val="12"/>
                <w:color w:val="auto"/>
              </w:rPr>
              <w:t>Relative TSR</w:t>
            </w:r>
          </w:p>
        </w:tc>
        <w:tc>
          <w:tcPr>
            <w:tcW w:w="4680" w:type="dxa"/>
            <w:vAlign w:val="bottom"/>
          </w:tcPr>
          <w:p>
            <w:pPr>
              <w:ind w:left="160"/>
              <w:spacing w:after="0" w:line="105" w:lineRule="exact"/>
              <w:rPr>
                <w:sz w:val="20"/>
                <w:szCs w:val="20"/>
                <w:color w:val="auto"/>
              </w:rPr>
            </w:pPr>
            <w:r>
              <w:rPr>
                <w:rFonts w:ascii="Arial" w:cs="Arial" w:eastAsia="Arial" w:hAnsi="Arial"/>
                <w:sz w:val="12"/>
                <w:szCs w:val="12"/>
                <w:color w:val="auto"/>
              </w:rPr>
              <w:t>– Rewards execution of the capital allocation policy which is expected to create</w:t>
            </w:r>
          </w:p>
        </w:tc>
      </w:tr>
      <w:tr>
        <w:trPr>
          <w:trHeight w:val="159"/>
        </w:trPr>
        <w:tc>
          <w:tcPr>
            <w:tcW w:w="3040" w:type="dxa"/>
            <w:vAlign w:val="bottom"/>
            <w:tcBorders>
              <w:right w:val="single" w:sz="8" w:color="00B2E5"/>
            </w:tcBorders>
          </w:tcPr>
          <w:p>
            <w:pPr>
              <w:spacing w:after="0"/>
              <w:rPr>
                <w:sz w:val="13"/>
                <w:szCs w:val="13"/>
                <w:color w:val="auto"/>
              </w:rPr>
            </w:pPr>
          </w:p>
        </w:tc>
        <w:tc>
          <w:tcPr>
            <w:tcW w:w="3580" w:type="dxa"/>
            <w:vAlign w:val="bottom"/>
            <w:tcBorders>
              <w:right w:val="single" w:sz="8" w:color="00B2E5"/>
            </w:tcBorders>
          </w:tcPr>
          <w:p>
            <w:pPr>
              <w:spacing w:after="0"/>
              <w:rPr>
                <w:sz w:val="13"/>
                <w:szCs w:val="13"/>
                <w:color w:val="auto"/>
              </w:rPr>
            </w:pPr>
          </w:p>
        </w:tc>
        <w:tc>
          <w:tcPr>
            <w:tcW w:w="4680" w:type="dxa"/>
            <w:vAlign w:val="bottom"/>
          </w:tcPr>
          <w:p>
            <w:pPr>
              <w:ind w:left="260"/>
              <w:spacing w:after="0"/>
              <w:rPr>
                <w:sz w:val="20"/>
                <w:szCs w:val="20"/>
                <w:color w:val="auto"/>
              </w:rPr>
            </w:pPr>
            <w:r>
              <w:rPr>
                <w:rFonts w:ascii="Arial" w:cs="Arial" w:eastAsia="Arial" w:hAnsi="Arial"/>
                <w:sz w:val="12"/>
                <w:szCs w:val="12"/>
                <w:color w:val="auto"/>
              </w:rPr>
              <w:t>shareholder value above and beyond achieving our long-term strategic objectives</w:t>
            </w:r>
          </w:p>
        </w:tc>
      </w:tr>
      <w:tr>
        <w:trPr>
          <w:trHeight w:val="389"/>
        </w:trPr>
        <w:tc>
          <w:tcPr>
            <w:tcW w:w="3040" w:type="dxa"/>
            <w:vAlign w:val="bottom"/>
            <w:tcBorders>
              <w:right w:val="single" w:sz="8" w:color="00B2E5"/>
            </w:tcBorders>
          </w:tcPr>
          <w:p>
            <w:pPr>
              <w:spacing w:after="0"/>
              <w:rPr>
                <w:sz w:val="24"/>
                <w:szCs w:val="24"/>
                <w:color w:val="auto"/>
              </w:rPr>
            </w:pPr>
          </w:p>
        </w:tc>
        <w:tc>
          <w:tcPr>
            <w:tcW w:w="3580" w:type="dxa"/>
            <w:vAlign w:val="bottom"/>
            <w:tcBorders>
              <w:right w:val="single" w:sz="8" w:color="00B2E5"/>
            </w:tcBorders>
          </w:tcPr>
          <w:p>
            <w:pPr>
              <w:spacing w:after="0"/>
              <w:rPr>
                <w:sz w:val="24"/>
                <w:szCs w:val="24"/>
                <w:color w:val="auto"/>
              </w:rPr>
            </w:pPr>
          </w:p>
        </w:tc>
        <w:tc>
          <w:tcPr>
            <w:tcW w:w="4680" w:type="dxa"/>
            <w:vAlign w:val="bottom"/>
          </w:tcPr>
          <w:p>
            <w:pPr>
              <w:ind w:left="160"/>
              <w:spacing w:after="0"/>
              <w:rPr>
                <w:sz w:val="20"/>
                <w:szCs w:val="20"/>
                <w:color w:val="auto"/>
              </w:rPr>
            </w:pPr>
            <w:r>
              <w:rPr>
                <w:rFonts w:ascii="Arial" w:cs="Arial" w:eastAsia="Arial" w:hAnsi="Arial"/>
                <w:sz w:val="12"/>
                <w:szCs w:val="12"/>
                <w:color w:val="auto"/>
                <w:w w:val="99"/>
              </w:rPr>
              <w:t>– Encourages outperformance with target TSR payout set above the median of peers</w:t>
            </w:r>
          </w:p>
        </w:tc>
      </w:tr>
      <w:tr>
        <w:trPr>
          <w:trHeight w:val="174"/>
        </w:trPr>
        <w:tc>
          <w:tcPr>
            <w:tcW w:w="3040" w:type="dxa"/>
            <w:vAlign w:val="bottom"/>
            <w:tcBorders>
              <w:bottom w:val="single" w:sz="8" w:color="00B2E5"/>
              <w:right w:val="single" w:sz="8" w:color="00B2E5"/>
            </w:tcBorders>
          </w:tcPr>
          <w:p>
            <w:pPr>
              <w:spacing w:after="0"/>
              <w:rPr>
                <w:sz w:val="15"/>
                <w:szCs w:val="15"/>
                <w:color w:val="auto"/>
              </w:rPr>
            </w:pPr>
          </w:p>
        </w:tc>
        <w:tc>
          <w:tcPr>
            <w:tcW w:w="3580" w:type="dxa"/>
            <w:vAlign w:val="bottom"/>
            <w:tcBorders>
              <w:bottom w:val="single" w:sz="8" w:color="00B2E5"/>
              <w:right w:val="single" w:sz="8" w:color="00B2E5"/>
            </w:tcBorders>
          </w:tcPr>
          <w:p>
            <w:pPr>
              <w:spacing w:after="0"/>
              <w:rPr>
                <w:sz w:val="15"/>
                <w:szCs w:val="15"/>
                <w:color w:val="auto"/>
              </w:rPr>
            </w:pPr>
          </w:p>
        </w:tc>
        <w:tc>
          <w:tcPr>
            <w:tcW w:w="4680" w:type="dxa"/>
            <w:vAlign w:val="bottom"/>
            <w:tcBorders>
              <w:bottom w:val="single" w:sz="8" w:color="00B2E5"/>
            </w:tcBorders>
          </w:tcPr>
          <w:p>
            <w:pPr>
              <w:ind w:left="260"/>
              <w:spacing w:after="0" w:line="174" w:lineRule="exact"/>
              <w:rPr>
                <w:sz w:val="20"/>
                <w:szCs w:val="20"/>
                <w:color w:val="auto"/>
              </w:rPr>
            </w:pPr>
            <w:r>
              <w:rPr>
                <w:rFonts w:ascii="Arial" w:cs="Arial" w:eastAsia="Arial" w:hAnsi="Arial"/>
                <w:sz w:val="12"/>
                <w:szCs w:val="12"/>
                <w:color w:val="auto"/>
              </w:rPr>
              <w:t>at 55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percentile</w:t>
            </w:r>
          </w:p>
        </w:tc>
      </w:tr>
    </w:tbl>
    <w:p>
      <w:pPr>
        <w:spacing w:after="0" w:line="94" w:lineRule="exact"/>
        <w:rPr>
          <w:sz w:val="20"/>
          <w:szCs w:val="20"/>
          <w:color w:val="auto"/>
        </w:rPr>
      </w:pPr>
    </w:p>
    <w:p>
      <w:pPr>
        <w:ind w:left="367" w:hanging="367"/>
        <w:spacing w:after="0"/>
        <w:tabs>
          <w:tab w:leader="none" w:pos="367" w:val="left"/>
        </w:tabs>
        <w:numPr>
          <w:ilvl w:val="0"/>
          <w:numId w:val="48"/>
        </w:numPr>
        <w:rPr>
          <w:rFonts w:ascii="Arial" w:cs="Arial" w:eastAsia="Arial" w:hAnsi="Arial"/>
          <w:sz w:val="15"/>
          <w:szCs w:val="15"/>
          <w:color w:val="auto"/>
          <w:vertAlign w:val="superscript"/>
        </w:rPr>
      </w:pPr>
      <w:r>
        <w:rPr>
          <w:rFonts w:ascii="Arial" w:cs="Arial" w:eastAsia="Arial" w:hAnsi="Arial"/>
          <w:sz w:val="10"/>
          <w:szCs w:val="10"/>
          <w:color w:val="auto"/>
        </w:rPr>
        <w:t>Defined as AECOM Enterprise less at-risk, self-perform construction businesses to be sold.</w:t>
      </w:r>
    </w:p>
    <w:p>
      <w:pPr>
        <w:spacing w:after="0" w:line="89" w:lineRule="exact"/>
        <w:rPr>
          <w:sz w:val="20"/>
          <w:szCs w:val="20"/>
          <w:color w:val="auto"/>
        </w:rPr>
      </w:pPr>
    </w:p>
    <w:p>
      <w:pPr>
        <w:jc w:val="both"/>
        <w:ind w:left="367" w:hanging="367"/>
        <w:spacing w:after="0" w:line="236" w:lineRule="auto"/>
        <w:tabs>
          <w:tab w:leader="none" w:pos="367" w:val="left"/>
        </w:tabs>
        <w:numPr>
          <w:ilvl w:val="0"/>
          <w:numId w:val="49"/>
        </w:numPr>
        <w:rPr>
          <w:rFonts w:ascii="Arial" w:cs="Arial" w:eastAsia="Arial" w:hAnsi="Arial"/>
          <w:sz w:val="14"/>
          <w:szCs w:val="14"/>
          <w:color w:val="auto"/>
          <w:vertAlign w:val="superscript"/>
        </w:rPr>
      </w:pPr>
      <w:r>
        <w:rPr>
          <w:rFonts w:ascii="Arial" w:cs="Arial" w:eastAsia="Arial" w:hAnsi="Arial"/>
          <w:sz w:val="9"/>
          <w:szCs w:val="9"/>
          <w:color w:val="auto"/>
        </w:rPr>
        <w:t>Defined as the 3-Year Average Annual Adjusted NOPAT divided by the 3-Year Average Quarterly Invested Capital. Adjusted NOPAT is Adjusted Attributable Net Income plus Adjusted Interest Expense net of Interest Income (tax effected at a normalized 28.5% rate). Adjusted Attributable Net Income is defined as Net Income Available to Common Stockholders excluding foreign exchange gains/losses on forward contracts related to financing, acquisition and integration related expenses, transaction related expenses, transformational restructuring related expenses, financing charges in interest expense, the amortization of intangible assets, and financial impacts associated with expected and actual dispositions of non-core businesses and assets. Adjusted Interest Expense excludes financing charges in interest expense. Invested Capital is Attributable Shareholders Equity plus Total Debt less Cash and Cash Equivalents (all per balance sheet). Quarterly Invested Capital is defined as the beginning and ending balance of each respective quarter excluding (1) any balance with respect to all at-risk businesses to be sold and (2) changes to Accumulated Other Comprehensive Loss (i.e., held flat at Q4 FY2020 ending actuals).</w:t>
      </w:r>
    </w:p>
    <w:p>
      <w:pPr>
        <w:spacing w:after="0" w:line="48" w:lineRule="exact"/>
        <w:rPr>
          <w:sz w:val="20"/>
          <w:szCs w:val="20"/>
          <w:color w:val="auto"/>
        </w:rPr>
      </w:pPr>
    </w:p>
    <w:p>
      <w:pPr>
        <w:ind w:left="367" w:hanging="367"/>
        <w:spacing w:after="0"/>
        <w:tabs>
          <w:tab w:leader="none" w:pos="367" w:val="left"/>
        </w:tabs>
        <w:numPr>
          <w:ilvl w:val="0"/>
          <w:numId w:val="50"/>
        </w:numPr>
        <w:rPr>
          <w:rFonts w:ascii="Arial" w:cs="Arial" w:eastAsia="Arial" w:hAnsi="Arial"/>
          <w:sz w:val="15"/>
          <w:szCs w:val="15"/>
          <w:color w:val="auto"/>
          <w:vertAlign w:val="superscript"/>
        </w:rPr>
      </w:pPr>
      <w:r>
        <w:rPr>
          <w:rFonts w:ascii="Arial" w:cs="Arial" w:eastAsia="Arial" w:hAnsi="Arial"/>
          <w:sz w:val="10"/>
          <w:szCs w:val="10"/>
          <w:color w:val="auto"/>
        </w:rPr>
        <w:t>Adjusted EPS is calculated as (a) Adjusted Attributable Net Income (as defined in footnote 2) divided by (b) the Weighted Average Number of Common Shares Outstanding, on a diluted basis, for a fiscal year.</w:t>
      </w:r>
    </w:p>
    <w:p>
      <w:pPr>
        <w:spacing w:after="0" w:line="11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00B2E5"/>
        </w:rPr>
        <w:t>FY2021 RSU Grants for CEO and President</w:t>
      </w:r>
    </w:p>
    <w:p>
      <w:pPr>
        <w:spacing w:after="0" w:line="150" w:lineRule="exact"/>
        <w:rPr>
          <w:sz w:val="20"/>
          <w:szCs w:val="20"/>
          <w:color w:val="auto"/>
        </w:rPr>
      </w:pPr>
    </w:p>
    <w:p>
      <w:pPr>
        <w:jc w:val="both"/>
        <w:ind w:left="7"/>
        <w:spacing w:after="0" w:line="256" w:lineRule="auto"/>
        <w:rPr>
          <w:sz w:val="20"/>
          <w:szCs w:val="20"/>
          <w:color w:val="auto"/>
        </w:rPr>
      </w:pPr>
      <w:r>
        <w:rPr>
          <w:rFonts w:ascii="Arial" w:cs="Arial" w:eastAsia="Arial" w:hAnsi="Arial"/>
          <w:sz w:val="12"/>
          <w:szCs w:val="12"/>
          <w:color w:val="auto"/>
        </w:rPr>
        <w:t>In conjunction with their promotions to CEO and President, respectively, Mr. Rudd and Ms. Poloni received the RSU portion of their annual Fiscal Year 2021 long-term incentive awards on August 15, 2020. These awards will fully vest on the third anniversary of the grant date and are included in the "Grants of Plan-Based Awards for Fiscal Year 2020" table. The PEP portions of their award were granted in December 2020, along with the FY2021 annual grants for all other NEOs and AECOM employees.</w:t>
      </w:r>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83755" cy="18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80" w:name="page81"/>
    <w:bookmarkEnd w:id="80"/>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Performance Stock Option for CEO</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In addition to the FY2021 RSU grant, Mr. Rudd received a $3,000,000 performance stock option award upon his promotion to CEO. The performance stock option is subject to both service and stock price vesting conditions, which must each be satisfied for the option to be vested as to the underlying shares. The service vesting requirement is satisfied in five (5) equal installments on each anniversary of the grant date, subject to continued employment. The performance vesting requirement is also satisfied in five (5) equal installments, upon our volume-weighted average price during a twenty-consecutive trading day period achieving each of the following AECOM stock price hurdles:</w:t>
      </w:r>
    </w:p>
    <w:p>
      <w:pPr>
        <w:spacing w:after="0" w:line="116" w:lineRule="exact"/>
        <w:rPr>
          <w:sz w:val="20"/>
          <w:szCs w:val="20"/>
          <w:color w:val="auto"/>
        </w:rPr>
      </w:pPr>
    </w:p>
    <w:tbl>
      <w:tblPr>
        <w:tblLayout w:type="fixed"/>
        <w:tblInd w:w="1920" w:type="dxa"/>
        <w:tblCellMar>
          <w:top w:w="0" w:type="dxa"/>
          <w:left w:w="0" w:type="dxa"/>
          <w:bottom w:w="0" w:type="dxa"/>
          <w:right w:w="0" w:type="dxa"/>
        </w:tblCellMar>
      </w:tblPr>
      <w:tr>
        <w:trPr>
          <w:trHeight w:val="151"/>
        </w:trPr>
        <w:tc>
          <w:tcPr>
            <w:tcW w:w="5400" w:type="dxa"/>
            <w:vAlign w:val="bottom"/>
            <w:tcBorders>
              <w:bottom w:val="single" w:sz="8" w:color="00B2E5"/>
            </w:tcBorders>
          </w:tcPr>
          <w:p>
            <w:pPr>
              <w:spacing w:after="0"/>
              <w:rPr>
                <w:sz w:val="20"/>
                <w:szCs w:val="20"/>
                <w:color w:val="auto"/>
              </w:rPr>
            </w:pPr>
            <w:r>
              <w:rPr>
                <w:rFonts w:ascii="Arial" w:cs="Arial" w:eastAsia="Arial" w:hAnsi="Arial"/>
                <w:sz w:val="12"/>
                <w:szCs w:val="12"/>
                <w:b w:val="1"/>
                <w:bCs w:val="1"/>
                <w:color w:val="auto"/>
              </w:rPr>
              <w:t>Target Stock Price</w:t>
            </w:r>
          </w:p>
        </w:tc>
        <w:tc>
          <w:tcPr>
            <w:tcW w:w="1940" w:type="dxa"/>
            <w:vAlign w:val="bottom"/>
            <w:tcBorders>
              <w:bottom w:val="single" w:sz="8" w:color="00B2E5"/>
            </w:tcBorders>
          </w:tcPr>
          <w:p>
            <w:pPr>
              <w:ind w:left="700"/>
              <w:spacing w:after="0"/>
              <w:rPr>
                <w:sz w:val="20"/>
                <w:szCs w:val="20"/>
                <w:color w:val="auto"/>
              </w:rPr>
            </w:pPr>
            <w:r>
              <w:rPr>
                <w:rFonts w:ascii="Arial" w:cs="Arial" w:eastAsia="Arial" w:hAnsi="Arial"/>
                <w:sz w:val="12"/>
                <w:szCs w:val="12"/>
                <w:b w:val="1"/>
                <w:bCs w:val="1"/>
                <w:color w:val="auto"/>
              </w:rPr>
              <w:t>Percentage</w:t>
            </w:r>
          </w:p>
        </w:tc>
      </w:tr>
      <w:tr>
        <w:trPr>
          <w:trHeight w:val="135"/>
        </w:trPr>
        <w:tc>
          <w:tcPr>
            <w:tcW w:w="5400" w:type="dxa"/>
            <w:vAlign w:val="bottom"/>
            <w:tcBorders>
              <w:bottom w:val="single" w:sz="8" w:color="00B2E5"/>
              <w:right w:val="single" w:sz="8" w:color="00B2E5"/>
            </w:tcBorders>
          </w:tcPr>
          <w:p>
            <w:pPr>
              <w:spacing w:after="0" w:line="135" w:lineRule="exact"/>
              <w:rPr>
                <w:sz w:val="20"/>
                <w:szCs w:val="20"/>
                <w:color w:val="auto"/>
              </w:rPr>
            </w:pPr>
            <w:r>
              <w:rPr>
                <w:rFonts w:ascii="Arial" w:cs="Arial" w:eastAsia="Arial" w:hAnsi="Arial"/>
                <w:sz w:val="12"/>
                <w:szCs w:val="12"/>
                <w:color w:val="auto"/>
              </w:rPr>
              <w:t>Exercise Price plus 20% ($46.46)</w:t>
            </w:r>
          </w:p>
        </w:tc>
        <w:tc>
          <w:tcPr>
            <w:tcW w:w="1940" w:type="dxa"/>
            <w:vAlign w:val="bottom"/>
            <w:tcBorders>
              <w:bottom w:val="single" w:sz="8" w:color="00B2E5"/>
            </w:tcBorders>
          </w:tcPr>
          <w:p>
            <w:pPr>
              <w:jc w:val="center"/>
              <w:ind w:left="41"/>
              <w:spacing w:after="0" w:line="135" w:lineRule="exact"/>
              <w:rPr>
                <w:sz w:val="20"/>
                <w:szCs w:val="20"/>
                <w:color w:val="auto"/>
              </w:rPr>
            </w:pPr>
            <w:r>
              <w:rPr>
                <w:rFonts w:ascii="Arial" w:cs="Arial" w:eastAsia="Arial" w:hAnsi="Arial"/>
                <w:sz w:val="12"/>
                <w:szCs w:val="12"/>
                <w:color w:val="auto"/>
                <w:w w:val="99"/>
              </w:rPr>
              <w:t>20%</w:t>
            </w:r>
          </w:p>
        </w:tc>
      </w:tr>
      <w:tr>
        <w:trPr>
          <w:trHeight w:val="126"/>
        </w:trPr>
        <w:tc>
          <w:tcPr>
            <w:tcW w:w="5400" w:type="dxa"/>
            <w:vAlign w:val="bottom"/>
            <w:tcBorders>
              <w:bottom w:val="single" w:sz="8" w:color="00B2E5"/>
              <w:right w:val="single" w:sz="8" w:color="00B2E5"/>
            </w:tcBorders>
          </w:tcPr>
          <w:p>
            <w:pPr>
              <w:spacing w:after="0" w:line="126" w:lineRule="exact"/>
              <w:rPr>
                <w:sz w:val="20"/>
                <w:szCs w:val="20"/>
                <w:color w:val="auto"/>
              </w:rPr>
            </w:pPr>
            <w:r>
              <w:rPr>
                <w:rFonts w:ascii="Arial" w:cs="Arial" w:eastAsia="Arial" w:hAnsi="Arial"/>
                <w:sz w:val="12"/>
                <w:szCs w:val="12"/>
                <w:color w:val="auto"/>
              </w:rPr>
              <w:t>Exercise Price plus 40% ($54.21)</w:t>
            </w:r>
          </w:p>
        </w:tc>
        <w:tc>
          <w:tcPr>
            <w:tcW w:w="1940" w:type="dxa"/>
            <w:vAlign w:val="bottom"/>
            <w:tcBorders>
              <w:bottom w:val="single" w:sz="8" w:color="00B2E5"/>
            </w:tcBorders>
          </w:tcPr>
          <w:p>
            <w:pPr>
              <w:jc w:val="center"/>
              <w:ind w:left="41"/>
              <w:spacing w:after="0" w:line="126" w:lineRule="exact"/>
              <w:rPr>
                <w:sz w:val="20"/>
                <w:szCs w:val="20"/>
                <w:color w:val="auto"/>
              </w:rPr>
            </w:pPr>
            <w:r>
              <w:rPr>
                <w:rFonts w:ascii="Arial" w:cs="Arial" w:eastAsia="Arial" w:hAnsi="Arial"/>
                <w:sz w:val="12"/>
                <w:szCs w:val="12"/>
                <w:color w:val="auto"/>
                <w:w w:val="99"/>
              </w:rPr>
              <w:t>40%</w:t>
            </w:r>
          </w:p>
        </w:tc>
      </w:tr>
      <w:tr>
        <w:trPr>
          <w:trHeight w:val="126"/>
        </w:trPr>
        <w:tc>
          <w:tcPr>
            <w:tcW w:w="5400" w:type="dxa"/>
            <w:vAlign w:val="bottom"/>
            <w:tcBorders>
              <w:bottom w:val="single" w:sz="8" w:color="00B2E5"/>
              <w:right w:val="single" w:sz="8" w:color="00B2E5"/>
            </w:tcBorders>
          </w:tcPr>
          <w:p>
            <w:pPr>
              <w:spacing w:after="0" w:line="126" w:lineRule="exact"/>
              <w:rPr>
                <w:sz w:val="20"/>
                <w:szCs w:val="20"/>
                <w:color w:val="auto"/>
              </w:rPr>
            </w:pPr>
            <w:r>
              <w:rPr>
                <w:rFonts w:ascii="Arial" w:cs="Arial" w:eastAsia="Arial" w:hAnsi="Arial"/>
                <w:sz w:val="12"/>
                <w:szCs w:val="12"/>
                <w:color w:val="auto"/>
              </w:rPr>
              <w:t>Exercise Price plus 60% ($61.95)</w:t>
            </w:r>
          </w:p>
        </w:tc>
        <w:tc>
          <w:tcPr>
            <w:tcW w:w="1940" w:type="dxa"/>
            <w:vAlign w:val="bottom"/>
            <w:tcBorders>
              <w:bottom w:val="single" w:sz="8" w:color="00B2E5"/>
            </w:tcBorders>
          </w:tcPr>
          <w:p>
            <w:pPr>
              <w:jc w:val="center"/>
              <w:ind w:left="41"/>
              <w:spacing w:after="0" w:line="126" w:lineRule="exact"/>
              <w:rPr>
                <w:sz w:val="20"/>
                <w:szCs w:val="20"/>
                <w:color w:val="auto"/>
              </w:rPr>
            </w:pPr>
            <w:r>
              <w:rPr>
                <w:rFonts w:ascii="Arial" w:cs="Arial" w:eastAsia="Arial" w:hAnsi="Arial"/>
                <w:sz w:val="12"/>
                <w:szCs w:val="12"/>
                <w:color w:val="auto"/>
                <w:w w:val="99"/>
              </w:rPr>
              <w:t>60%</w:t>
            </w:r>
          </w:p>
        </w:tc>
      </w:tr>
      <w:tr>
        <w:trPr>
          <w:trHeight w:val="126"/>
        </w:trPr>
        <w:tc>
          <w:tcPr>
            <w:tcW w:w="5400" w:type="dxa"/>
            <w:vAlign w:val="bottom"/>
            <w:tcBorders>
              <w:bottom w:val="single" w:sz="8" w:color="00B2E5"/>
              <w:right w:val="single" w:sz="8" w:color="00B2E5"/>
            </w:tcBorders>
          </w:tcPr>
          <w:p>
            <w:pPr>
              <w:spacing w:after="0" w:line="126" w:lineRule="exact"/>
              <w:rPr>
                <w:sz w:val="20"/>
                <w:szCs w:val="20"/>
                <w:color w:val="auto"/>
              </w:rPr>
            </w:pPr>
            <w:r>
              <w:rPr>
                <w:rFonts w:ascii="Arial" w:cs="Arial" w:eastAsia="Arial" w:hAnsi="Arial"/>
                <w:sz w:val="12"/>
                <w:szCs w:val="12"/>
                <w:color w:val="auto"/>
              </w:rPr>
              <w:t>Exercise Price plus 80% ($69.70)</w:t>
            </w:r>
          </w:p>
        </w:tc>
        <w:tc>
          <w:tcPr>
            <w:tcW w:w="1940" w:type="dxa"/>
            <w:vAlign w:val="bottom"/>
            <w:tcBorders>
              <w:bottom w:val="single" w:sz="8" w:color="00B2E5"/>
            </w:tcBorders>
          </w:tcPr>
          <w:p>
            <w:pPr>
              <w:jc w:val="center"/>
              <w:ind w:left="41"/>
              <w:spacing w:after="0" w:line="126" w:lineRule="exact"/>
              <w:rPr>
                <w:sz w:val="20"/>
                <w:szCs w:val="20"/>
                <w:color w:val="auto"/>
              </w:rPr>
            </w:pPr>
            <w:r>
              <w:rPr>
                <w:rFonts w:ascii="Arial" w:cs="Arial" w:eastAsia="Arial" w:hAnsi="Arial"/>
                <w:sz w:val="12"/>
                <w:szCs w:val="12"/>
                <w:color w:val="auto"/>
                <w:w w:val="99"/>
              </w:rPr>
              <w:t>80%</w:t>
            </w:r>
          </w:p>
        </w:tc>
      </w:tr>
      <w:tr>
        <w:trPr>
          <w:trHeight w:val="126"/>
        </w:trPr>
        <w:tc>
          <w:tcPr>
            <w:tcW w:w="5400" w:type="dxa"/>
            <w:vAlign w:val="bottom"/>
            <w:tcBorders>
              <w:bottom w:val="single" w:sz="8" w:color="00B2E5"/>
              <w:right w:val="single" w:sz="8" w:color="00B2E5"/>
            </w:tcBorders>
          </w:tcPr>
          <w:p>
            <w:pPr>
              <w:spacing w:after="0" w:line="126" w:lineRule="exact"/>
              <w:rPr>
                <w:sz w:val="20"/>
                <w:szCs w:val="20"/>
                <w:color w:val="auto"/>
              </w:rPr>
            </w:pPr>
            <w:r>
              <w:rPr>
                <w:rFonts w:ascii="Arial" w:cs="Arial" w:eastAsia="Arial" w:hAnsi="Arial"/>
                <w:sz w:val="12"/>
                <w:szCs w:val="12"/>
                <w:color w:val="auto"/>
              </w:rPr>
              <w:t>Exercise Price plus 100% ($77.44)</w:t>
            </w:r>
          </w:p>
        </w:tc>
        <w:tc>
          <w:tcPr>
            <w:tcW w:w="1940" w:type="dxa"/>
            <w:vAlign w:val="bottom"/>
            <w:tcBorders>
              <w:bottom w:val="single" w:sz="8" w:color="00B2E5"/>
            </w:tcBorders>
          </w:tcPr>
          <w:p>
            <w:pPr>
              <w:jc w:val="center"/>
              <w:ind w:left="21"/>
              <w:spacing w:after="0" w:line="126" w:lineRule="exact"/>
              <w:rPr>
                <w:sz w:val="20"/>
                <w:szCs w:val="20"/>
                <w:color w:val="auto"/>
              </w:rPr>
            </w:pPr>
            <w:r>
              <w:rPr>
                <w:rFonts w:ascii="Arial" w:cs="Arial" w:eastAsia="Arial" w:hAnsi="Arial"/>
                <w:sz w:val="12"/>
                <w:szCs w:val="12"/>
                <w:color w:val="auto"/>
                <w:w w:val="97"/>
              </w:rPr>
              <w:t>100%</w:t>
            </w:r>
          </w:p>
        </w:tc>
      </w:tr>
    </w:tbl>
    <w:p>
      <w:pPr>
        <w:spacing w:after="0" w:line="134"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In order to fully vest, AECOM's stock price needs to double compared to the grant date closing stock price (i.e., the Exercise Price), creating over $6.2 billion in market capitalization. Full vesting will also require outperforming our highest stock price from the last six (6) years by over 150% as both service and performance requirements must be met in order to become exercisable.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1" w:name="page82"/>
    <w:bookmarkEnd w:id="81"/>
    <w:p>
      <w:pPr>
        <w:ind w:left="7"/>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ind w:left="7"/>
        <w:spacing w:after="0"/>
        <w:rPr>
          <w:sz w:val="20"/>
          <w:szCs w:val="20"/>
          <w:color w:val="auto"/>
        </w:rPr>
      </w:pPr>
      <w:r>
        <w:rPr>
          <w:rFonts w:ascii="Arial" w:cs="Arial" w:eastAsia="Arial" w:hAnsi="Arial"/>
          <w:sz w:val="29"/>
          <w:szCs w:val="29"/>
          <w:b w:val="1"/>
          <w:bCs w:val="1"/>
          <w:color w:val="00B2E5"/>
        </w:rPr>
        <w:t>PERFORMANCE EARNINGS PROGRAM — 2020 ACHIEVEMENTS AND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176770" cy="114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21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00B2E5"/>
        </w:rPr>
        <w:t>Fiscal Years 2017-2019 (PEP2017)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76770" cy="114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number of units eligible to be earned was based on the Company's achievement of certain financial metrics, weighted 75%, and Relative TSR, weighted 25%. The financial metrics were measured over three</w:t>
      </w:r>
    </w:p>
    <w:p>
      <w:pPr>
        <w:spacing w:after="0" w:line="13" w:lineRule="exact"/>
        <w:rPr>
          <w:sz w:val="20"/>
          <w:szCs w:val="20"/>
          <w:color w:val="auto"/>
        </w:rPr>
      </w:pPr>
    </w:p>
    <w:p>
      <w:pPr>
        <w:ind w:left="7" w:right="20" w:hanging="7"/>
        <w:spacing w:after="0" w:line="250" w:lineRule="auto"/>
        <w:tabs>
          <w:tab w:leader="none" w:pos="188" w:val="left"/>
        </w:tabs>
        <w:numPr>
          <w:ilvl w:val="0"/>
          <w:numId w:val="51"/>
        </w:numPr>
        <w:rPr>
          <w:rFonts w:ascii="Arial" w:cs="Arial" w:eastAsia="Arial" w:hAnsi="Arial"/>
          <w:sz w:val="12"/>
          <w:szCs w:val="12"/>
          <w:color w:val="auto"/>
        </w:rPr>
      </w:pPr>
      <w:r>
        <w:rPr>
          <w:rFonts w:ascii="Arial" w:cs="Arial" w:eastAsia="Arial" w:hAnsi="Arial"/>
          <w:sz w:val="12"/>
          <w:szCs w:val="12"/>
          <w:color w:val="auto"/>
        </w:rPr>
        <w:t>one-year performance periods with a 37.5% weighting for Adjusted EPS and a 37.5% weighting for Free Cash Flow Per Share. The Relative TSR metric was measured over a cumulative three-year performance period ending on December 14, 2019. PEP2017 earned 84.3% of target based on prior Fiscal Year 2017, 2018 and 2019 results and the below Relative TSR performance results.</w:t>
      </w:r>
    </w:p>
    <w:p>
      <w:pPr>
        <w:spacing w:after="0" w:line="116" w:lineRule="exact"/>
        <w:rPr>
          <w:sz w:val="20"/>
          <w:szCs w:val="20"/>
          <w:color w:val="auto"/>
        </w:rPr>
      </w:pPr>
    </w:p>
    <w:p>
      <w:pPr>
        <w:ind w:left="1127"/>
        <w:spacing w:after="0"/>
        <w:tabs>
          <w:tab w:leader="none" w:pos="5167" w:val="left"/>
          <w:tab w:leader="none" w:pos="6267" w:val="left"/>
          <w:tab w:leader="none" w:pos="7147" w:val="left"/>
          <w:tab w:leader="none" w:pos="8287" w:val="left"/>
          <w:tab w:leader="none" w:pos="9267" w:val="left"/>
        </w:tabs>
        <w:rPr>
          <w:sz w:val="20"/>
          <w:szCs w:val="20"/>
          <w:color w:val="auto"/>
        </w:rPr>
      </w:pPr>
      <w:r>
        <w:rPr>
          <w:rFonts w:ascii="Arial" w:cs="Arial" w:eastAsia="Arial" w:hAnsi="Arial"/>
          <w:sz w:val="12"/>
          <w:szCs w:val="12"/>
          <w:b w:val="1"/>
          <w:bCs w:val="1"/>
          <w:color w:val="auto"/>
        </w:rPr>
        <w:t>December 15, 2016 – December 14, 2019</w:t>
      </w:r>
      <w:r>
        <w:rPr>
          <w:sz w:val="20"/>
          <w:szCs w:val="20"/>
          <w:color w:val="auto"/>
        </w:rPr>
        <w:tab/>
      </w:r>
      <w:r>
        <w:rPr>
          <w:rFonts w:ascii="Arial" w:cs="Arial" w:eastAsia="Arial" w:hAnsi="Arial"/>
          <w:sz w:val="12"/>
          <w:szCs w:val="12"/>
          <w:b w:val="1"/>
          <w:bCs w:val="1"/>
          <w:color w:val="auto"/>
        </w:rPr>
        <w:t>Threshold</w:t>
      </w:r>
      <w:r>
        <w:rPr>
          <w:sz w:val="20"/>
          <w:szCs w:val="20"/>
          <w:color w:val="auto"/>
        </w:rPr>
        <w:tab/>
      </w:r>
      <w:r>
        <w:rPr>
          <w:rFonts w:ascii="Arial" w:cs="Arial" w:eastAsia="Arial" w:hAnsi="Arial"/>
          <w:sz w:val="12"/>
          <w:szCs w:val="12"/>
          <w:b w:val="1"/>
          <w:bCs w:val="1"/>
          <w:color w:val="auto"/>
        </w:rPr>
        <w:t>Target</w:t>
      </w:r>
      <w:r>
        <w:rPr>
          <w:sz w:val="20"/>
          <w:szCs w:val="20"/>
          <w:color w:val="auto"/>
        </w:rPr>
        <w:tab/>
      </w:r>
      <w:r>
        <w:rPr>
          <w:rFonts w:ascii="Arial" w:cs="Arial" w:eastAsia="Arial" w:hAnsi="Arial"/>
          <w:sz w:val="12"/>
          <w:szCs w:val="12"/>
          <w:b w:val="1"/>
          <w:bCs w:val="1"/>
          <w:color w:val="auto"/>
        </w:rPr>
        <w:t>Maximum</w:t>
      </w:r>
      <w:r>
        <w:rPr>
          <w:sz w:val="20"/>
          <w:szCs w:val="20"/>
          <w:color w:val="auto"/>
        </w:rPr>
        <w:tab/>
      </w:r>
      <w:r>
        <w:rPr>
          <w:rFonts w:ascii="Arial" w:cs="Arial" w:eastAsia="Arial" w:hAnsi="Arial"/>
          <w:sz w:val="12"/>
          <w:szCs w:val="12"/>
          <w:b w:val="1"/>
          <w:bCs w:val="1"/>
          <w:color w:val="auto"/>
        </w:rPr>
        <w:t>Actual</w:t>
      </w:r>
      <w:r>
        <w:rPr>
          <w:sz w:val="20"/>
          <w:szCs w:val="20"/>
          <w:color w:val="auto"/>
        </w:rPr>
        <w:tab/>
      </w:r>
      <w:r>
        <w:rPr>
          <w:rFonts w:ascii="Arial" w:cs="Arial" w:eastAsia="Arial" w:hAnsi="Arial"/>
          <w:sz w:val="11"/>
          <w:szCs w:val="11"/>
          <w:b w:val="1"/>
          <w:bCs w:val="1"/>
          <w:color w:val="auto"/>
        </w:rPr>
        <w:t>Payout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8255</wp:posOffset>
            </wp:positionV>
            <wp:extent cx="5723890" cy="1098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23890" cy="109855"/>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p>
      <w:pPr>
        <w:spacing w:after="0" w:line="29" w:lineRule="exact"/>
        <w:rPr>
          <w:sz w:val="20"/>
          <w:szCs w:val="20"/>
          <w:color w:val="auto"/>
        </w:rPr>
      </w:pPr>
    </w:p>
    <w:p>
      <w:pPr>
        <w:ind w:left="1127"/>
        <w:spacing w:after="0"/>
        <w:rPr>
          <w:sz w:val="20"/>
          <w:szCs w:val="20"/>
          <w:color w:val="auto"/>
        </w:rPr>
      </w:pPr>
      <w:r>
        <w:rPr>
          <w:rFonts w:ascii="Arial" w:cs="Arial" w:eastAsia="Arial" w:hAnsi="Arial"/>
          <w:sz w:val="11"/>
          <w:szCs w:val="11"/>
          <w:color w:val="auto"/>
        </w:rPr>
        <w:t>Relative TSR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25%' ile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50%'ile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75%'ile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17.6%'ile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0%</w:t>
      </w:r>
    </w:p>
    <w:p>
      <w:pPr>
        <w:spacing w:after="0" w:line="153" w:lineRule="exact"/>
        <w:rPr>
          <w:sz w:val="20"/>
          <w:szCs w:val="20"/>
          <w:color w:val="auto"/>
        </w:rPr>
      </w:pPr>
    </w:p>
    <w:p>
      <w:pPr>
        <w:sectPr>
          <w:pgSz w:w="11900" w:h="16838" w:orient="portrait"/>
          <w:cols w:equalWidth="0" w:num="6">
            <w:col w:w="4547" w:space="720"/>
            <w:col w:w="420" w:space="580"/>
            <w:col w:w="380" w:space="600"/>
            <w:col w:w="380" w:space="620"/>
            <w:col w:w="560" w:space="720"/>
            <w:col w:w="1780"/>
          </w:cols>
          <w:pgMar w:left="293" w:top="128" w:right="299" w:bottom="1440" w:gutter="0" w:footer="0" w:header="0"/>
          <w:type w:val="continuous"/>
        </w:sectPr>
      </w:pPr>
    </w:p>
    <w:p>
      <w:pPr>
        <w:jc w:val="both"/>
        <w:ind w:left="7"/>
        <w:spacing w:after="0" w:line="256" w:lineRule="auto"/>
        <w:rPr>
          <w:sz w:val="20"/>
          <w:szCs w:val="20"/>
          <w:color w:val="auto"/>
        </w:rPr>
      </w:pPr>
      <w:r>
        <w:rPr>
          <w:rFonts w:ascii="Arial" w:cs="Arial" w:eastAsia="Arial" w:hAnsi="Arial"/>
          <w:sz w:val="12"/>
          <w:szCs w:val="12"/>
          <w:color w:val="auto"/>
        </w:rPr>
        <w:t>In Fiscal Year 2019, executive management made a strategic decision to restructure the Company to deliver long-term value to stockholders, which resulted in $95.4 million of transformational restructuring costs. As a result of the impact of the cost of restructuring, Fiscal Year Adjusted EPS earned 0% as the target levels were burdened by the cost of these investments. The final payout percentage above reflects this detriment taken by management for the benefit of the Company and its shareholders in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76770" cy="114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00B2E5"/>
        </w:rPr>
        <w:t>Fiscal Years 2018-2020 (PEP2018)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76770" cy="114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ind w:left="7"/>
        <w:spacing w:after="0" w:line="274" w:lineRule="auto"/>
        <w:rPr>
          <w:sz w:val="20"/>
          <w:szCs w:val="20"/>
          <w:color w:val="auto"/>
        </w:rPr>
      </w:pPr>
      <w:r>
        <w:rPr>
          <w:rFonts w:ascii="Arial" w:cs="Arial" w:eastAsia="Arial" w:hAnsi="Arial"/>
          <w:sz w:val="12"/>
          <w:szCs w:val="12"/>
          <w:color w:val="auto"/>
        </w:rPr>
        <w:t>PEP2018 has the same design as PEP2017. PEP2018 achieved 108.5% based on the Company's financial performance for Fiscal Years 2018 - 2020 and Relative TSR performance from December 15, 2017 to December 14, 2020. The table below details the final Fiscal Year 2020 financial performance and Relative TSR performance.</w:t>
      </w:r>
    </w:p>
    <w:p>
      <w:pPr>
        <w:spacing w:after="0" w:line="102" w:lineRule="exact"/>
        <w:rPr>
          <w:sz w:val="20"/>
          <w:szCs w:val="20"/>
          <w:color w:val="auto"/>
        </w:rPr>
      </w:pPr>
    </w:p>
    <w:p>
      <w:pPr>
        <w:ind w:left="1127"/>
        <w:spacing w:after="0"/>
        <w:tabs>
          <w:tab w:leader="none" w:pos="4507" w:val="left"/>
          <w:tab w:leader="none" w:pos="6087" w:val="left"/>
          <w:tab w:leader="none" w:pos="7167" w:val="left"/>
          <w:tab w:leader="none" w:pos="8467" w:val="left"/>
          <w:tab w:leader="none" w:pos="9507" w:val="left"/>
        </w:tabs>
        <w:rPr>
          <w:sz w:val="20"/>
          <w:szCs w:val="20"/>
          <w:color w:val="auto"/>
        </w:rPr>
      </w:pPr>
      <w:r>
        <w:rPr>
          <w:rFonts w:ascii="Arial" w:cs="Arial" w:eastAsia="Arial" w:hAnsi="Arial"/>
          <w:sz w:val="12"/>
          <w:szCs w:val="12"/>
          <w:b w:val="1"/>
          <w:bCs w:val="1"/>
          <w:color w:val="auto"/>
        </w:rPr>
        <w:t>Year 3 (Fiscal Year 2020)</w:t>
      </w:r>
      <w:r>
        <w:rPr>
          <w:sz w:val="20"/>
          <w:szCs w:val="20"/>
          <w:color w:val="auto"/>
        </w:rPr>
        <w:tab/>
      </w:r>
      <w:r>
        <w:rPr>
          <w:rFonts w:ascii="Arial" w:cs="Arial" w:eastAsia="Arial" w:hAnsi="Arial"/>
          <w:sz w:val="12"/>
          <w:szCs w:val="12"/>
          <w:b w:val="1"/>
          <w:bCs w:val="1"/>
          <w:color w:val="auto"/>
        </w:rPr>
        <w:t>Threshold</w:t>
      </w:r>
      <w:r>
        <w:rPr>
          <w:sz w:val="20"/>
          <w:szCs w:val="20"/>
          <w:color w:val="auto"/>
        </w:rPr>
        <w:tab/>
      </w:r>
      <w:r>
        <w:rPr>
          <w:rFonts w:ascii="Arial" w:cs="Arial" w:eastAsia="Arial" w:hAnsi="Arial"/>
          <w:sz w:val="12"/>
          <w:szCs w:val="12"/>
          <w:b w:val="1"/>
          <w:bCs w:val="1"/>
          <w:color w:val="auto"/>
        </w:rPr>
        <w:t>Target</w:t>
      </w:r>
      <w:r>
        <w:rPr>
          <w:sz w:val="20"/>
          <w:szCs w:val="20"/>
          <w:color w:val="auto"/>
        </w:rPr>
        <w:tab/>
      </w:r>
      <w:r>
        <w:rPr>
          <w:rFonts w:ascii="Arial" w:cs="Arial" w:eastAsia="Arial" w:hAnsi="Arial"/>
          <w:sz w:val="12"/>
          <w:szCs w:val="12"/>
          <w:b w:val="1"/>
          <w:bCs w:val="1"/>
          <w:color w:val="auto"/>
        </w:rPr>
        <w:t>Maximum</w:t>
      </w:r>
      <w:r>
        <w:rPr>
          <w:sz w:val="20"/>
          <w:szCs w:val="20"/>
          <w:color w:val="auto"/>
        </w:rPr>
        <w:tab/>
      </w:r>
      <w:r>
        <w:rPr>
          <w:rFonts w:ascii="Arial" w:cs="Arial" w:eastAsia="Arial" w:hAnsi="Arial"/>
          <w:sz w:val="12"/>
          <w:szCs w:val="12"/>
          <w:b w:val="1"/>
          <w:bCs w:val="1"/>
          <w:color w:val="auto"/>
        </w:rPr>
        <w:t>Actual %</w:t>
      </w:r>
      <w:r>
        <w:rPr>
          <w:sz w:val="20"/>
          <w:szCs w:val="20"/>
          <w:color w:val="auto"/>
        </w:rPr>
        <w:tab/>
      </w:r>
      <w:r>
        <w:rPr>
          <w:rFonts w:ascii="Arial" w:cs="Arial" w:eastAsia="Arial" w:hAnsi="Arial"/>
          <w:sz w:val="11"/>
          <w:szCs w:val="11"/>
          <w:b w:val="1"/>
          <w:bCs w:val="1"/>
          <w:color w:val="auto"/>
        </w:rPr>
        <w:t>Payout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8255</wp:posOffset>
            </wp:positionV>
            <wp:extent cx="5741670" cy="1968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41670" cy="19685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type w:val="continuous"/>
        </w:sectPr>
      </w:pPr>
    </w:p>
    <w:p>
      <w:pPr>
        <w:spacing w:after="0" w:line="19" w:lineRule="exact"/>
        <w:rPr>
          <w:sz w:val="20"/>
          <w:szCs w:val="20"/>
          <w:color w:val="auto"/>
        </w:rPr>
      </w:pPr>
    </w:p>
    <w:p>
      <w:pPr>
        <w:ind w:left="1127"/>
        <w:spacing w:after="0"/>
        <w:rPr>
          <w:sz w:val="20"/>
          <w:szCs w:val="20"/>
          <w:color w:val="auto"/>
        </w:rPr>
      </w:pPr>
      <w:r>
        <w:rPr>
          <w:rFonts w:ascii="Arial" w:cs="Arial" w:eastAsia="Arial" w:hAnsi="Arial"/>
          <w:sz w:val="12"/>
          <w:szCs w:val="12"/>
          <w:color w:val="auto"/>
        </w:rPr>
        <w:t>Adjusted EPS Growth</w:t>
      </w:r>
    </w:p>
    <w:p>
      <w:pPr>
        <w:spacing w:after="0" w:line="21" w:lineRule="exact"/>
        <w:rPr>
          <w:sz w:val="20"/>
          <w:szCs w:val="20"/>
          <w:color w:val="auto"/>
        </w:rPr>
      </w:pPr>
    </w:p>
    <w:p>
      <w:pPr>
        <w:ind w:left="1127"/>
        <w:spacing w:after="0"/>
        <w:rPr>
          <w:sz w:val="20"/>
          <w:szCs w:val="20"/>
          <w:color w:val="auto"/>
        </w:rPr>
      </w:pPr>
      <w:r>
        <w:rPr>
          <w:rFonts w:ascii="Arial" w:cs="Arial" w:eastAsia="Arial" w:hAnsi="Arial"/>
          <w:sz w:val="11"/>
          <w:szCs w:val="11"/>
          <w:color w:val="auto"/>
        </w:rPr>
        <w:t>FCF Per Share Growth</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60" w:type="dxa"/>
            <w:vAlign w:val="bottom"/>
            <w:tcBorders>
              <w:right w:val="single" w:sz="8" w:color="00B2E5"/>
            </w:tcBorders>
          </w:tcPr>
          <w:p>
            <w:pPr>
              <w:jc w:val="right"/>
              <w:ind w:right="241"/>
              <w:spacing w:after="0"/>
              <w:rPr>
                <w:sz w:val="20"/>
                <w:szCs w:val="20"/>
                <w:color w:val="auto"/>
              </w:rPr>
            </w:pPr>
            <w:r>
              <w:rPr>
                <w:rFonts w:ascii="Arial" w:cs="Arial" w:eastAsia="Arial" w:hAnsi="Arial"/>
                <w:sz w:val="12"/>
                <w:szCs w:val="12"/>
                <w:color w:val="auto"/>
                <w:w w:val="96"/>
              </w:rPr>
              <w:t>(5.0)%</w:t>
            </w:r>
          </w:p>
        </w:tc>
        <w:tc>
          <w:tcPr>
            <w:tcW w:w="1560" w:type="dxa"/>
            <w:vAlign w:val="bottom"/>
            <w:tcBorders>
              <w:right w:val="single" w:sz="8" w:color="00B2E5"/>
            </w:tcBorders>
          </w:tcPr>
          <w:p>
            <w:pPr>
              <w:jc w:val="right"/>
              <w:ind w:right="501"/>
              <w:spacing w:after="0"/>
              <w:rPr>
                <w:sz w:val="20"/>
                <w:szCs w:val="20"/>
                <w:color w:val="auto"/>
              </w:rPr>
            </w:pPr>
            <w:r>
              <w:rPr>
                <w:rFonts w:ascii="Arial" w:cs="Arial" w:eastAsia="Arial" w:hAnsi="Arial"/>
                <w:sz w:val="12"/>
                <w:szCs w:val="12"/>
                <w:color w:val="auto"/>
              </w:rPr>
              <w:t>2.0%-5.0%</w:t>
            </w:r>
          </w:p>
        </w:tc>
        <w:tc>
          <w:tcPr>
            <w:tcW w:w="980" w:type="dxa"/>
            <w:vAlign w:val="bottom"/>
            <w:tcBorders>
              <w:right w:val="single" w:sz="8" w:color="00B2E5"/>
            </w:tcBorders>
          </w:tcPr>
          <w:p>
            <w:pPr>
              <w:jc w:val="right"/>
              <w:ind w:right="201"/>
              <w:spacing w:after="0"/>
              <w:rPr>
                <w:sz w:val="20"/>
                <w:szCs w:val="20"/>
                <w:color w:val="auto"/>
              </w:rPr>
            </w:pPr>
            <w:r>
              <w:rPr>
                <w:rFonts w:ascii="Arial" w:cs="Arial" w:eastAsia="Arial" w:hAnsi="Arial"/>
                <w:sz w:val="12"/>
                <w:szCs w:val="12"/>
                <w:color w:val="auto"/>
              </w:rPr>
              <w:t>10.0%</w:t>
            </w:r>
          </w:p>
        </w:tc>
        <w:tc>
          <w:tcPr>
            <w:tcW w:w="80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158"/>
        </w:trPr>
        <w:tc>
          <w:tcPr>
            <w:tcW w:w="660" w:type="dxa"/>
            <w:vAlign w:val="bottom"/>
            <w:tcBorders>
              <w:right w:val="single" w:sz="8" w:color="00B2E5"/>
            </w:tcBorders>
          </w:tcPr>
          <w:p>
            <w:pPr>
              <w:jc w:val="right"/>
              <w:ind w:right="241"/>
              <w:spacing w:after="0"/>
              <w:rPr>
                <w:sz w:val="20"/>
                <w:szCs w:val="20"/>
                <w:color w:val="auto"/>
              </w:rPr>
            </w:pPr>
            <w:r>
              <w:rPr>
                <w:rFonts w:ascii="Arial" w:cs="Arial" w:eastAsia="Arial" w:hAnsi="Arial"/>
                <w:sz w:val="12"/>
                <w:szCs w:val="12"/>
                <w:color w:val="auto"/>
                <w:w w:val="96"/>
              </w:rPr>
              <w:t>(5.0)%</w:t>
            </w:r>
          </w:p>
        </w:tc>
        <w:tc>
          <w:tcPr>
            <w:tcW w:w="1560" w:type="dxa"/>
            <w:vAlign w:val="bottom"/>
            <w:tcBorders>
              <w:right w:val="single" w:sz="8" w:color="00B2E5"/>
            </w:tcBorders>
          </w:tcPr>
          <w:p>
            <w:pPr>
              <w:jc w:val="right"/>
              <w:ind w:right="501"/>
              <w:spacing w:after="0"/>
              <w:rPr>
                <w:sz w:val="20"/>
                <w:szCs w:val="20"/>
                <w:color w:val="auto"/>
              </w:rPr>
            </w:pPr>
            <w:r>
              <w:rPr>
                <w:rFonts w:ascii="Arial" w:cs="Arial" w:eastAsia="Arial" w:hAnsi="Arial"/>
                <w:sz w:val="12"/>
                <w:szCs w:val="12"/>
                <w:color w:val="auto"/>
              </w:rPr>
              <w:t>2.0%-5.0%</w:t>
            </w:r>
          </w:p>
        </w:tc>
        <w:tc>
          <w:tcPr>
            <w:tcW w:w="980" w:type="dxa"/>
            <w:vAlign w:val="bottom"/>
            <w:tcBorders>
              <w:right w:val="single" w:sz="8" w:color="00B2E5"/>
            </w:tcBorders>
          </w:tcPr>
          <w:p>
            <w:pPr>
              <w:jc w:val="right"/>
              <w:ind w:right="201"/>
              <w:spacing w:after="0"/>
              <w:rPr>
                <w:sz w:val="20"/>
                <w:szCs w:val="20"/>
                <w:color w:val="auto"/>
              </w:rPr>
            </w:pPr>
            <w:r>
              <w:rPr>
                <w:rFonts w:ascii="Arial" w:cs="Arial" w:eastAsia="Arial" w:hAnsi="Arial"/>
                <w:sz w:val="12"/>
                <w:szCs w:val="12"/>
                <w:color w:val="auto"/>
              </w:rPr>
              <w:t>10.0%</w:t>
            </w:r>
          </w:p>
        </w:tc>
        <w:tc>
          <w:tcPr>
            <w:tcW w:w="800" w:type="dxa"/>
            <w:vAlign w:val="bottom"/>
          </w:tcPr>
          <w:p>
            <w:pPr>
              <w:jc w:val="right"/>
              <w:spacing w:after="0"/>
              <w:rPr>
                <w:sz w:val="20"/>
                <w:szCs w:val="20"/>
                <w:color w:val="auto"/>
              </w:rPr>
            </w:pPr>
            <w:r>
              <w:rPr>
                <w:rFonts w:ascii="Arial" w:cs="Arial" w:eastAsia="Arial" w:hAnsi="Arial"/>
                <w:sz w:val="12"/>
                <w:szCs w:val="12"/>
                <w:color w:val="auto"/>
              </w:rPr>
              <w:t>23.0%</w:t>
            </w:r>
          </w:p>
        </w:tc>
      </w:tr>
    </w:tbl>
    <w:p>
      <w:pPr>
        <w:spacing w:after="0" w:line="20" w:lineRule="exact"/>
        <w:rPr>
          <w:sz w:val="20"/>
          <w:szCs w:val="20"/>
          <w:color w:val="auto"/>
        </w:rPr>
      </w:pPr>
      <w:r>
        <w:rPr>
          <w:sz w:val="20"/>
          <w:szCs w:val="20"/>
          <w:color w:val="auto"/>
        </w:rPr>
        <w:br w:type="column"/>
      </w:r>
    </w:p>
    <w:p>
      <w:pPr>
        <w:jc w:val="right"/>
        <w:ind w:right="1020"/>
        <w:spacing w:after="0"/>
        <w:rPr>
          <w:sz w:val="20"/>
          <w:szCs w:val="20"/>
          <w:color w:val="auto"/>
        </w:rPr>
      </w:pPr>
      <w:r>
        <w:rPr>
          <w:rFonts w:ascii="Arial" w:cs="Arial" w:eastAsia="Arial" w:hAnsi="Arial"/>
          <w:sz w:val="12"/>
          <w:szCs w:val="12"/>
          <w:color w:val="auto"/>
        </w:rPr>
        <w:t>0%</w:t>
      </w:r>
    </w:p>
    <w:p>
      <w:pPr>
        <w:spacing w:after="0" w:line="21" w:lineRule="exact"/>
        <w:rPr>
          <w:sz w:val="20"/>
          <w:szCs w:val="20"/>
          <w:color w:val="auto"/>
        </w:rPr>
      </w:pPr>
    </w:p>
    <w:p>
      <w:pPr>
        <w:jc w:val="right"/>
        <w:ind w:right="1020"/>
        <w:spacing w:after="0"/>
        <w:rPr>
          <w:sz w:val="20"/>
          <w:szCs w:val="20"/>
          <w:color w:val="auto"/>
        </w:rPr>
      </w:pPr>
      <w:r>
        <w:rPr>
          <w:rFonts w:ascii="Arial" w:cs="Arial" w:eastAsia="Arial" w:hAnsi="Arial"/>
          <w:sz w:val="12"/>
          <w:szCs w:val="12"/>
          <w:color w:val="auto"/>
        </w:rPr>
        <w:t>200%</w:t>
      </w:r>
    </w:p>
    <w:p>
      <w:pPr>
        <w:spacing w:after="0" w:line="206" w:lineRule="exact"/>
        <w:rPr>
          <w:sz w:val="20"/>
          <w:szCs w:val="20"/>
          <w:color w:val="auto"/>
        </w:rPr>
      </w:pPr>
    </w:p>
    <w:p>
      <w:pPr>
        <w:sectPr>
          <w:pgSz w:w="11900" w:h="16838" w:orient="portrait"/>
          <w:cols w:equalWidth="0" w:num="3">
            <w:col w:w="4187" w:space="720"/>
            <w:col w:w="4340" w:space="720"/>
            <w:col w:w="1340"/>
          </w:cols>
          <w:pgMar w:left="293" w:top="128" w:right="299" w:bottom="1440" w:gutter="0" w:footer="0" w:header="0"/>
          <w:type w:val="continuous"/>
        </w:sectPr>
      </w:pPr>
    </w:p>
    <w:p>
      <w:pPr>
        <w:spacing w:after="0" w:line="215" w:lineRule="exact"/>
        <w:rPr>
          <w:sz w:val="20"/>
          <w:szCs w:val="20"/>
          <w:color w:val="auto"/>
        </w:rPr>
      </w:pPr>
    </w:p>
    <w:p>
      <w:pPr>
        <w:ind w:left="1127"/>
        <w:spacing w:after="0"/>
        <w:tabs>
          <w:tab w:leader="none" w:pos="5167" w:val="left"/>
          <w:tab w:leader="none" w:pos="6267" w:val="left"/>
          <w:tab w:leader="none" w:pos="7147" w:val="left"/>
          <w:tab w:leader="none" w:pos="8287" w:val="left"/>
          <w:tab w:leader="none" w:pos="9267" w:val="left"/>
        </w:tabs>
        <w:rPr>
          <w:sz w:val="20"/>
          <w:szCs w:val="20"/>
          <w:color w:val="auto"/>
        </w:rPr>
      </w:pPr>
      <w:r>
        <w:rPr>
          <w:rFonts w:ascii="Arial" w:cs="Arial" w:eastAsia="Arial" w:hAnsi="Arial"/>
          <w:sz w:val="12"/>
          <w:szCs w:val="12"/>
          <w:b w:val="1"/>
          <w:bCs w:val="1"/>
          <w:color w:val="auto"/>
        </w:rPr>
        <w:t>December 15, 2017 – December 14, 2020</w:t>
      </w:r>
      <w:r>
        <w:rPr>
          <w:sz w:val="20"/>
          <w:szCs w:val="20"/>
          <w:color w:val="auto"/>
        </w:rPr>
        <w:tab/>
      </w:r>
      <w:r>
        <w:rPr>
          <w:rFonts w:ascii="Arial" w:cs="Arial" w:eastAsia="Arial" w:hAnsi="Arial"/>
          <w:sz w:val="12"/>
          <w:szCs w:val="12"/>
          <w:b w:val="1"/>
          <w:bCs w:val="1"/>
          <w:color w:val="auto"/>
        </w:rPr>
        <w:t>Threshold</w:t>
      </w:r>
      <w:r>
        <w:rPr>
          <w:sz w:val="20"/>
          <w:szCs w:val="20"/>
          <w:color w:val="auto"/>
        </w:rPr>
        <w:tab/>
      </w:r>
      <w:r>
        <w:rPr>
          <w:rFonts w:ascii="Arial" w:cs="Arial" w:eastAsia="Arial" w:hAnsi="Arial"/>
          <w:sz w:val="12"/>
          <w:szCs w:val="12"/>
          <w:b w:val="1"/>
          <w:bCs w:val="1"/>
          <w:color w:val="auto"/>
        </w:rPr>
        <w:t>Target</w:t>
      </w:r>
      <w:r>
        <w:rPr>
          <w:sz w:val="20"/>
          <w:szCs w:val="20"/>
          <w:color w:val="auto"/>
        </w:rPr>
        <w:tab/>
      </w:r>
      <w:r>
        <w:rPr>
          <w:rFonts w:ascii="Arial" w:cs="Arial" w:eastAsia="Arial" w:hAnsi="Arial"/>
          <w:sz w:val="12"/>
          <w:szCs w:val="12"/>
          <w:b w:val="1"/>
          <w:bCs w:val="1"/>
          <w:color w:val="auto"/>
        </w:rPr>
        <w:t>Maximum</w:t>
      </w:r>
      <w:r>
        <w:rPr>
          <w:sz w:val="20"/>
          <w:szCs w:val="20"/>
          <w:color w:val="auto"/>
        </w:rPr>
        <w:tab/>
      </w:r>
      <w:r>
        <w:rPr>
          <w:rFonts w:ascii="Arial" w:cs="Arial" w:eastAsia="Arial" w:hAnsi="Arial"/>
          <w:sz w:val="12"/>
          <w:szCs w:val="12"/>
          <w:b w:val="1"/>
          <w:bCs w:val="1"/>
          <w:color w:val="auto"/>
        </w:rPr>
        <w:t>Actual</w:t>
      </w:r>
      <w:r>
        <w:rPr>
          <w:sz w:val="20"/>
          <w:szCs w:val="20"/>
          <w:color w:val="auto"/>
        </w:rPr>
        <w:tab/>
      </w:r>
      <w:r>
        <w:rPr>
          <w:rFonts w:ascii="Arial" w:cs="Arial" w:eastAsia="Arial" w:hAnsi="Arial"/>
          <w:sz w:val="11"/>
          <w:szCs w:val="11"/>
          <w:b w:val="1"/>
          <w:bCs w:val="1"/>
          <w:color w:val="auto"/>
        </w:rPr>
        <w:t>Payout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8255</wp:posOffset>
            </wp:positionV>
            <wp:extent cx="5723890" cy="1041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23890" cy="10414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type w:val="continuous"/>
        </w:sectPr>
      </w:pPr>
    </w:p>
    <w:p>
      <w:pPr>
        <w:spacing w:after="0" w:line="29" w:lineRule="exact"/>
        <w:rPr>
          <w:sz w:val="20"/>
          <w:szCs w:val="20"/>
          <w:color w:val="auto"/>
        </w:rPr>
      </w:pPr>
    </w:p>
    <w:p>
      <w:pPr>
        <w:ind w:left="1127"/>
        <w:spacing w:after="0"/>
        <w:rPr>
          <w:sz w:val="20"/>
          <w:szCs w:val="20"/>
          <w:color w:val="auto"/>
        </w:rPr>
      </w:pPr>
      <w:r>
        <w:rPr>
          <w:rFonts w:ascii="Arial" w:cs="Arial" w:eastAsia="Arial" w:hAnsi="Arial"/>
          <w:sz w:val="11"/>
          <w:szCs w:val="11"/>
          <w:color w:val="auto"/>
        </w:rPr>
        <w:t>Relative TSR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25%' ile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50%'ile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75%'ile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46.7%'ile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86.7%</w:t>
      </w:r>
    </w:p>
    <w:p>
      <w:pPr>
        <w:spacing w:after="0" w:line="154" w:lineRule="exact"/>
        <w:rPr>
          <w:sz w:val="20"/>
          <w:szCs w:val="20"/>
          <w:color w:val="auto"/>
        </w:rPr>
      </w:pPr>
    </w:p>
    <w:p>
      <w:pPr>
        <w:sectPr>
          <w:pgSz w:w="11900" w:h="16838" w:orient="portrait"/>
          <w:cols w:equalWidth="0" w:num="6">
            <w:col w:w="4547" w:space="720"/>
            <w:col w:w="420" w:space="580"/>
            <w:col w:w="380" w:space="600"/>
            <w:col w:w="380" w:space="620"/>
            <w:col w:w="480" w:space="720"/>
            <w:col w:w="1860"/>
          </w:cols>
          <w:pgMar w:left="293" w:top="128" w:right="299" w:bottom="1440" w:gutter="0" w:footer="0" w:header="0"/>
          <w:type w:val="continuous"/>
        </w:sectPr>
      </w:pPr>
    </w:p>
    <w:p>
      <w:pPr>
        <w:jc w:val="both"/>
        <w:ind w:left="7" w:right="20"/>
        <w:spacing w:after="0" w:line="274" w:lineRule="auto"/>
        <w:rPr>
          <w:sz w:val="20"/>
          <w:szCs w:val="20"/>
          <w:color w:val="auto"/>
        </w:rPr>
      </w:pPr>
      <w:r>
        <w:rPr>
          <w:rFonts w:ascii="Arial" w:cs="Arial" w:eastAsia="Arial" w:hAnsi="Arial"/>
          <w:sz w:val="12"/>
          <w:szCs w:val="12"/>
          <w:color w:val="auto"/>
        </w:rPr>
        <w:t>Similar to the results of PEP2017, for PEP2018, Adjusted EPS was negatively impacted by executive management's strategic decision to restructure the Company to deliver long term value to stockholders. The estimated payout percentage above reflects this detriment resulting from unplanned restructuring actions taken for the benefit of the Company and its shareholders in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76770" cy="114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4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00B2E5"/>
        </w:rPr>
        <w:t>Fiscal Years 2019-2022 (PEP2019) and Fiscal Years 2020-2023 (PEP2020)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76770" cy="114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ind w:left="7"/>
        <w:spacing w:after="0" w:line="256" w:lineRule="auto"/>
        <w:rPr>
          <w:sz w:val="20"/>
          <w:szCs w:val="20"/>
          <w:color w:val="auto"/>
        </w:rPr>
      </w:pPr>
      <w:r>
        <w:rPr>
          <w:rFonts w:ascii="Arial" w:cs="Arial" w:eastAsia="Arial" w:hAnsi="Arial"/>
          <w:sz w:val="12"/>
          <w:szCs w:val="12"/>
          <w:color w:val="auto"/>
        </w:rPr>
        <w:t>PEP2019 and PEP2020 have three-year performance periods to measure Return on Invested Capital and Free Cash Flow Per Share for PEP2019, and Attributable Free Cash Flow for PEP2020. Actual performance results will not be available until after the three-year performance period ends for both awards. Because pre-established targets are competitively sensitive, they have not been disclosed; however, we note that the applicable targets aligned with guidance to shareholders.</w:t>
      </w:r>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83755" cy="18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type w:val="continuous"/>
        </w:sectPr>
      </w:pPr>
    </w:p>
    <w:bookmarkStart w:id="82" w:name="page83"/>
    <w:bookmarkEnd w:id="82"/>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OTHER PROGRAMS, POLICIES AND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176770" cy="114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Stock Ownership Guidelines for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NEOs are subject to stock ownership guidelines, which helps to ensure that their interests are aligned with those of stockholders. Under the guidelines, AECOM's CEO is required to maintain ownership of AECOM stock at six times base salary and the other NEOs at three times base salary. The minimum number of shares required to meet the guideline is updated annually based on each executive's salary and the 12-month trailing average AECOM stock price. Shares owned directly and indirectly, restricted stock units and vested stock options/shares are counted toward the guidelines. NEOs have five full fiscal years, starting from the date an executive is first subject to the guidelines, to comply.</w:t>
      </w:r>
    </w:p>
    <w:p>
      <w:pPr>
        <w:spacing w:after="0" w:line="118"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color w:val="auto"/>
        </w:rPr>
        <w:t>In Fiscal Year 2020, the Compensation Committee increased the rigor of the stock ownership guidelines by removing unvested PEP units from shares counted toward meeting the applicable salary multiple requirements. As a result, our NEOs are required to hold a greater number of AECOM shares in the future to satisfy the requirements of our stock ownership guidelines.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table below outlines the stock ownership of AECOM's NEOs as of October 2, 2020. Mr. Burke ceased serving as an officer on August 14, 2020. Messrs. Wotring and Morriss ceased serving as officers on October 2, 2020. Some of the continuing NEOs do not currently meet the stock ownership guidelines, however, each continuing NEO is expected to meet the guidelines by the end of his/her respective five-year transition period.</w:t>
      </w:r>
    </w:p>
    <w:p>
      <w:pPr>
        <w:spacing w:after="0" w:line="111" w:lineRule="exact"/>
        <w:rPr>
          <w:sz w:val="20"/>
          <w:szCs w:val="20"/>
          <w:color w:val="auto"/>
        </w:rPr>
      </w:pPr>
    </w:p>
    <w:tbl>
      <w:tblPr>
        <w:tblLayout w:type="fixed"/>
        <w:tblInd w:w="1920" w:type="dxa"/>
        <w:tblCellMar>
          <w:top w:w="0" w:type="dxa"/>
          <w:left w:w="0" w:type="dxa"/>
          <w:bottom w:w="0" w:type="dxa"/>
          <w:right w:w="0" w:type="dxa"/>
        </w:tblCellMar>
      </w:tblPr>
      <w:tr>
        <w:trPr>
          <w:trHeight w:val="138"/>
        </w:trPr>
        <w:tc>
          <w:tcPr>
            <w:tcW w:w="3240" w:type="dxa"/>
            <w:vAlign w:val="bottom"/>
          </w:tcPr>
          <w:p>
            <w:pPr>
              <w:spacing w:after="0"/>
              <w:rPr>
                <w:sz w:val="12"/>
                <w:szCs w:val="12"/>
                <w:color w:val="auto"/>
              </w:rPr>
            </w:pPr>
          </w:p>
        </w:tc>
        <w:tc>
          <w:tcPr>
            <w:tcW w:w="1580" w:type="dxa"/>
            <w:vAlign w:val="bottom"/>
          </w:tcPr>
          <w:p>
            <w:pPr>
              <w:jc w:val="center"/>
              <w:ind w:left="421"/>
              <w:spacing w:after="0"/>
              <w:rPr>
                <w:sz w:val="20"/>
                <w:szCs w:val="20"/>
                <w:color w:val="auto"/>
              </w:rPr>
            </w:pPr>
            <w:r>
              <w:rPr>
                <w:rFonts w:ascii="Arial" w:cs="Arial" w:eastAsia="Arial" w:hAnsi="Arial"/>
                <w:sz w:val="12"/>
                <w:szCs w:val="12"/>
                <w:b w:val="1"/>
                <w:bCs w:val="1"/>
                <w:color w:val="auto"/>
                <w:w w:val="99"/>
              </w:rPr>
              <w:t>Guideline —</w:t>
            </w:r>
          </w:p>
        </w:tc>
        <w:tc>
          <w:tcPr>
            <w:tcW w:w="500" w:type="dxa"/>
            <w:vAlign w:val="bottom"/>
          </w:tcPr>
          <w:p>
            <w:pPr>
              <w:spacing w:after="0"/>
              <w:rPr>
                <w:sz w:val="12"/>
                <w:szCs w:val="12"/>
                <w:color w:val="auto"/>
              </w:rPr>
            </w:pPr>
          </w:p>
        </w:tc>
        <w:tc>
          <w:tcPr>
            <w:tcW w:w="1920" w:type="dxa"/>
            <w:vAlign w:val="bottom"/>
          </w:tcPr>
          <w:p>
            <w:pPr>
              <w:ind w:left="780"/>
              <w:spacing w:after="0"/>
              <w:rPr>
                <w:sz w:val="20"/>
                <w:szCs w:val="20"/>
                <w:color w:val="auto"/>
              </w:rPr>
            </w:pPr>
            <w:r>
              <w:rPr>
                <w:rFonts w:ascii="Arial" w:cs="Arial" w:eastAsia="Arial" w:hAnsi="Arial"/>
                <w:sz w:val="12"/>
                <w:szCs w:val="12"/>
                <w:b w:val="1"/>
                <w:bCs w:val="1"/>
                <w:color w:val="auto"/>
              </w:rPr>
              <w:t>Actual —</w:t>
            </w:r>
          </w:p>
        </w:tc>
      </w:tr>
      <w:tr>
        <w:trPr>
          <w:trHeight w:val="151"/>
        </w:trPr>
        <w:tc>
          <w:tcPr>
            <w:tcW w:w="3240" w:type="dxa"/>
            <w:vAlign w:val="bottom"/>
            <w:tcBorders>
              <w:bottom w:val="single" w:sz="8" w:color="00B2E5"/>
            </w:tcBorders>
          </w:tcPr>
          <w:p>
            <w:pPr>
              <w:spacing w:after="0"/>
              <w:rPr>
                <w:sz w:val="20"/>
                <w:szCs w:val="20"/>
                <w:color w:val="auto"/>
              </w:rPr>
            </w:pPr>
            <w:r>
              <w:rPr>
                <w:rFonts w:ascii="Arial" w:cs="Arial" w:eastAsia="Arial" w:hAnsi="Arial"/>
                <w:sz w:val="12"/>
                <w:szCs w:val="12"/>
                <w:b w:val="1"/>
                <w:bCs w:val="1"/>
                <w:color w:val="auto"/>
              </w:rPr>
              <w:t>Named Executive Officers</w:t>
            </w:r>
          </w:p>
        </w:tc>
        <w:tc>
          <w:tcPr>
            <w:tcW w:w="1580" w:type="dxa"/>
            <w:vAlign w:val="bottom"/>
            <w:tcBorders>
              <w:bottom w:val="single" w:sz="8" w:color="00B2E5"/>
            </w:tcBorders>
          </w:tcPr>
          <w:p>
            <w:pPr>
              <w:jc w:val="center"/>
              <w:ind w:left="401"/>
              <w:spacing w:after="0"/>
              <w:rPr>
                <w:sz w:val="20"/>
                <w:szCs w:val="20"/>
                <w:color w:val="auto"/>
              </w:rPr>
            </w:pPr>
            <w:r>
              <w:rPr>
                <w:rFonts w:ascii="Arial" w:cs="Arial" w:eastAsia="Arial" w:hAnsi="Arial"/>
                <w:sz w:val="12"/>
                <w:szCs w:val="12"/>
                <w:b w:val="1"/>
                <w:bCs w:val="1"/>
                <w:color w:val="auto"/>
                <w:w w:val="99"/>
              </w:rPr>
              <w:t>Salary Multiple</w:t>
            </w:r>
          </w:p>
        </w:tc>
        <w:tc>
          <w:tcPr>
            <w:tcW w:w="500" w:type="dxa"/>
            <w:vAlign w:val="bottom"/>
            <w:tcBorders>
              <w:bottom w:val="single" w:sz="8" w:color="00B2E5"/>
            </w:tcBorders>
          </w:tcPr>
          <w:p>
            <w:pPr>
              <w:spacing w:after="0"/>
              <w:rPr>
                <w:sz w:val="13"/>
                <w:szCs w:val="13"/>
                <w:color w:val="auto"/>
              </w:rPr>
            </w:pPr>
          </w:p>
        </w:tc>
        <w:tc>
          <w:tcPr>
            <w:tcW w:w="1920" w:type="dxa"/>
            <w:vAlign w:val="bottom"/>
            <w:tcBorders>
              <w:bottom w:val="single" w:sz="8" w:color="00B2E5"/>
            </w:tcBorders>
          </w:tcPr>
          <w:p>
            <w:pPr>
              <w:ind w:left="620"/>
              <w:spacing w:after="0"/>
              <w:rPr>
                <w:sz w:val="20"/>
                <w:szCs w:val="20"/>
                <w:color w:val="auto"/>
              </w:rPr>
            </w:pPr>
            <w:r>
              <w:rPr>
                <w:rFonts w:ascii="Arial" w:cs="Arial" w:eastAsia="Arial" w:hAnsi="Arial"/>
                <w:sz w:val="12"/>
                <w:szCs w:val="12"/>
                <w:b w:val="1"/>
                <w:bCs w:val="1"/>
                <w:color w:val="auto"/>
              </w:rPr>
              <w:t>Salary Multiple</w:t>
            </w:r>
          </w:p>
        </w:tc>
      </w:tr>
      <w:tr>
        <w:trPr>
          <w:trHeight w:val="135"/>
        </w:trPr>
        <w:tc>
          <w:tcPr>
            <w:tcW w:w="3240" w:type="dxa"/>
            <w:vAlign w:val="bottom"/>
            <w:tcBorders>
              <w:bottom w:val="single" w:sz="8" w:color="00B2E5"/>
              <w:right w:val="single" w:sz="8" w:color="00B2E5"/>
            </w:tcBorders>
          </w:tcPr>
          <w:p>
            <w:pPr>
              <w:spacing w:after="0" w:line="135" w:lineRule="exact"/>
              <w:rPr>
                <w:sz w:val="20"/>
                <w:szCs w:val="20"/>
                <w:color w:val="auto"/>
              </w:rPr>
            </w:pPr>
            <w:r>
              <w:rPr>
                <w:rFonts w:ascii="Arial" w:cs="Arial" w:eastAsia="Arial" w:hAnsi="Arial"/>
                <w:sz w:val="12"/>
                <w:szCs w:val="12"/>
                <w:color w:val="auto"/>
              </w:rPr>
              <w:t>W. Troy Rudd</w:t>
            </w:r>
          </w:p>
        </w:tc>
        <w:tc>
          <w:tcPr>
            <w:tcW w:w="1580" w:type="dxa"/>
            <w:vAlign w:val="bottom"/>
            <w:tcBorders>
              <w:bottom w:val="single" w:sz="8" w:color="00B2E5"/>
            </w:tcBorders>
          </w:tcPr>
          <w:p>
            <w:pPr>
              <w:spacing w:after="0"/>
              <w:rPr>
                <w:sz w:val="11"/>
                <w:szCs w:val="11"/>
                <w:color w:val="auto"/>
              </w:rPr>
            </w:pPr>
          </w:p>
        </w:tc>
        <w:tc>
          <w:tcPr>
            <w:tcW w:w="500" w:type="dxa"/>
            <w:vAlign w:val="bottom"/>
            <w:tcBorders>
              <w:bottom w:val="single" w:sz="8" w:color="00B2E5"/>
              <w:right w:val="single" w:sz="8" w:color="00B2E5"/>
            </w:tcBorders>
          </w:tcPr>
          <w:p>
            <w:pPr>
              <w:ind w:left="160"/>
              <w:spacing w:after="0" w:line="135" w:lineRule="exact"/>
              <w:rPr>
                <w:sz w:val="20"/>
                <w:szCs w:val="20"/>
                <w:color w:val="auto"/>
              </w:rPr>
            </w:pPr>
            <w:r>
              <w:rPr>
                <w:rFonts w:ascii="Arial" w:cs="Arial" w:eastAsia="Arial" w:hAnsi="Arial"/>
                <w:sz w:val="12"/>
                <w:szCs w:val="12"/>
                <w:color w:val="auto"/>
              </w:rPr>
              <w:t>6.0</w:t>
            </w:r>
          </w:p>
        </w:tc>
        <w:tc>
          <w:tcPr>
            <w:tcW w:w="1920" w:type="dxa"/>
            <w:vAlign w:val="bottom"/>
            <w:tcBorders>
              <w:bottom w:val="single" w:sz="8" w:color="00B2E5"/>
            </w:tcBorders>
          </w:tcPr>
          <w:p>
            <w:pPr>
              <w:ind w:left="1740"/>
              <w:spacing w:after="0" w:line="135" w:lineRule="exact"/>
              <w:rPr>
                <w:sz w:val="20"/>
                <w:szCs w:val="20"/>
                <w:color w:val="auto"/>
              </w:rPr>
            </w:pPr>
            <w:r>
              <w:rPr>
                <w:rFonts w:ascii="Arial" w:cs="Arial" w:eastAsia="Arial" w:hAnsi="Arial"/>
                <w:sz w:val="12"/>
                <w:szCs w:val="12"/>
                <w:color w:val="auto"/>
                <w:w w:val="95"/>
              </w:rPr>
              <w:t>8.0</w:t>
            </w:r>
          </w:p>
        </w:tc>
      </w:tr>
      <w:tr>
        <w:trPr>
          <w:trHeight w:val="126"/>
        </w:trPr>
        <w:tc>
          <w:tcPr>
            <w:tcW w:w="3240" w:type="dxa"/>
            <w:vAlign w:val="bottom"/>
            <w:tcBorders>
              <w:bottom w:val="single" w:sz="8" w:color="00B2E5"/>
              <w:right w:val="single" w:sz="8" w:color="00B2E5"/>
            </w:tcBorders>
          </w:tcPr>
          <w:p>
            <w:pPr>
              <w:spacing w:after="0" w:line="126" w:lineRule="exact"/>
              <w:rPr>
                <w:sz w:val="20"/>
                <w:szCs w:val="20"/>
                <w:color w:val="auto"/>
              </w:rPr>
            </w:pPr>
            <w:r>
              <w:rPr>
                <w:rFonts w:ascii="Arial" w:cs="Arial" w:eastAsia="Arial" w:hAnsi="Arial"/>
                <w:sz w:val="12"/>
                <w:szCs w:val="12"/>
                <w:color w:val="auto"/>
              </w:rPr>
              <w:t>Gaurav Kapoor</w:t>
            </w:r>
          </w:p>
        </w:tc>
        <w:tc>
          <w:tcPr>
            <w:tcW w:w="1580" w:type="dxa"/>
            <w:vAlign w:val="bottom"/>
            <w:tcBorders>
              <w:bottom w:val="single" w:sz="8" w:color="00B2E5"/>
            </w:tcBorders>
          </w:tcPr>
          <w:p>
            <w:pPr>
              <w:spacing w:after="0"/>
              <w:rPr>
                <w:sz w:val="10"/>
                <w:szCs w:val="10"/>
                <w:color w:val="auto"/>
              </w:rPr>
            </w:pPr>
          </w:p>
        </w:tc>
        <w:tc>
          <w:tcPr>
            <w:tcW w:w="500" w:type="dxa"/>
            <w:vAlign w:val="bottom"/>
            <w:tcBorders>
              <w:bottom w:val="single" w:sz="8" w:color="00B2E5"/>
              <w:right w:val="single" w:sz="8" w:color="00B2E5"/>
            </w:tcBorders>
          </w:tcPr>
          <w:p>
            <w:pPr>
              <w:ind w:left="160"/>
              <w:spacing w:after="0" w:line="126" w:lineRule="exact"/>
              <w:rPr>
                <w:sz w:val="20"/>
                <w:szCs w:val="20"/>
                <w:color w:val="auto"/>
              </w:rPr>
            </w:pPr>
            <w:r>
              <w:rPr>
                <w:rFonts w:ascii="Arial" w:cs="Arial" w:eastAsia="Arial" w:hAnsi="Arial"/>
                <w:sz w:val="12"/>
                <w:szCs w:val="12"/>
                <w:color w:val="auto"/>
              </w:rPr>
              <w:t>3.0</w:t>
            </w:r>
          </w:p>
        </w:tc>
        <w:tc>
          <w:tcPr>
            <w:tcW w:w="1920" w:type="dxa"/>
            <w:vAlign w:val="bottom"/>
            <w:tcBorders>
              <w:bottom w:val="single" w:sz="8" w:color="00B2E5"/>
            </w:tcBorders>
          </w:tcPr>
          <w:p>
            <w:pPr>
              <w:ind w:left="1740"/>
              <w:spacing w:after="0" w:line="126" w:lineRule="exact"/>
              <w:rPr>
                <w:sz w:val="20"/>
                <w:szCs w:val="20"/>
                <w:color w:val="auto"/>
              </w:rPr>
            </w:pPr>
            <w:r>
              <w:rPr>
                <w:rFonts w:ascii="Arial" w:cs="Arial" w:eastAsia="Arial" w:hAnsi="Arial"/>
                <w:sz w:val="12"/>
                <w:szCs w:val="12"/>
                <w:color w:val="auto"/>
                <w:w w:val="95"/>
              </w:rPr>
              <w:t>2.4</w:t>
            </w:r>
          </w:p>
        </w:tc>
      </w:tr>
      <w:tr>
        <w:trPr>
          <w:trHeight w:val="126"/>
        </w:trPr>
        <w:tc>
          <w:tcPr>
            <w:tcW w:w="3240" w:type="dxa"/>
            <w:vAlign w:val="bottom"/>
            <w:tcBorders>
              <w:bottom w:val="single" w:sz="8" w:color="00B2E5"/>
              <w:right w:val="single" w:sz="8" w:color="00B2E5"/>
            </w:tcBorders>
          </w:tcPr>
          <w:p>
            <w:pPr>
              <w:spacing w:after="0" w:line="126" w:lineRule="exact"/>
              <w:rPr>
                <w:sz w:val="20"/>
                <w:szCs w:val="20"/>
                <w:color w:val="auto"/>
              </w:rPr>
            </w:pPr>
            <w:r>
              <w:rPr>
                <w:rFonts w:ascii="Arial" w:cs="Arial" w:eastAsia="Arial" w:hAnsi="Arial"/>
                <w:sz w:val="12"/>
                <w:szCs w:val="12"/>
                <w:color w:val="auto"/>
              </w:rPr>
              <w:t>Lara Poloni</w:t>
            </w:r>
          </w:p>
        </w:tc>
        <w:tc>
          <w:tcPr>
            <w:tcW w:w="1580" w:type="dxa"/>
            <w:vAlign w:val="bottom"/>
            <w:tcBorders>
              <w:bottom w:val="single" w:sz="8" w:color="00B2E5"/>
            </w:tcBorders>
          </w:tcPr>
          <w:p>
            <w:pPr>
              <w:spacing w:after="0"/>
              <w:rPr>
                <w:sz w:val="10"/>
                <w:szCs w:val="10"/>
                <w:color w:val="auto"/>
              </w:rPr>
            </w:pPr>
          </w:p>
        </w:tc>
        <w:tc>
          <w:tcPr>
            <w:tcW w:w="500" w:type="dxa"/>
            <w:vAlign w:val="bottom"/>
            <w:tcBorders>
              <w:bottom w:val="single" w:sz="8" w:color="00B2E5"/>
              <w:right w:val="single" w:sz="8" w:color="00B2E5"/>
            </w:tcBorders>
          </w:tcPr>
          <w:p>
            <w:pPr>
              <w:ind w:left="160"/>
              <w:spacing w:after="0" w:line="126" w:lineRule="exact"/>
              <w:rPr>
                <w:sz w:val="20"/>
                <w:szCs w:val="20"/>
                <w:color w:val="auto"/>
              </w:rPr>
            </w:pPr>
            <w:r>
              <w:rPr>
                <w:rFonts w:ascii="Arial" w:cs="Arial" w:eastAsia="Arial" w:hAnsi="Arial"/>
                <w:sz w:val="12"/>
                <w:szCs w:val="12"/>
                <w:color w:val="auto"/>
              </w:rPr>
              <w:t>3.0</w:t>
            </w:r>
          </w:p>
        </w:tc>
        <w:tc>
          <w:tcPr>
            <w:tcW w:w="1920" w:type="dxa"/>
            <w:vAlign w:val="bottom"/>
            <w:tcBorders>
              <w:bottom w:val="single" w:sz="8" w:color="00B2E5"/>
            </w:tcBorders>
          </w:tcPr>
          <w:p>
            <w:pPr>
              <w:ind w:left="1740"/>
              <w:spacing w:after="0" w:line="126" w:lineRule="exact"/>
              <w:rPr>
                <w:sz w:val="20"/>
                <w:szCs w:val="20"/>
                <w:color w:val="auto"/>
              </w:rPr>
            </w:pPr>
            <w:r>
              <w:rPr>
                <w:rFonts w:ascii="Arial" w:cs="Arial" w:eastAsia="Arial" w:hAnsi="Arial"/>
                <w:sz w:val="12"/>
                <w:szCs w:val="12"/>
                <w:color w:val="auto"/>
                <w:w w:val="95"/>
              </w:rPr>
              <w:t>2.8</w:t>
            </w:r>
          </w:p>
        </w:tc>
      </w:tr>
      <w:tr>
        <w:trPr>
          <w:trHeight w:val="126"/>
        </w:trPr>
        <w:tc>
          <w:tcPr>
            <w:tcW w:w="3240" w:type="dxa"/>
            <w:vAlign w:val="bottom"/>
            <w:tcBorders>
              <w:bottom w:val="single" w:sz="8" w:color="00B2E5"/>
              <w:right w:val="single" w:sz="8" w:color="00B2E5"/>
            </w:tcBorders>
          </w:tcPr>
          <w:p>
            <w:pPr>
              <w:spacing w:after="0" w:line="126" w:lineRule="exact"/>
              <w:rPr>
                <w:sz w:val="20"/>
                <w:szCs w:val="20"/>
                <w:color w:val="auto"/>
              </w:rPr>
            </w:pPr>
            <w:r>
              <w:rPr>
                <w:rFonts w:ascii="Arial" w:cs="Arial" w:eastAsia="Arial" w:hAnsi="Arial"/>
                <w:sz w:val="12"/>
                <w:szCs w:val="12"/>
                <w:color w:val="auto"/>
              </w:rPr>
              <w:t>Randall A. Wotring</w:t>
            </w:r>
          </w:p>
        </w:tc>
        <w:tc>
          <w:tcPr>
            <w:tcW w:w="1580" w:type="dxa"/>
            <w:vAlign w:val="bottom"/>
            <w:tcBorders>
              <w:bottom w:val="single" w:sz="8" w:color="00B2E5"/>
            </w:tcBorders>
          </w:tcPr>
          <w:p>
            <w:pPr>
              <w:spacing w:after="0"/>
              <w:rPr>
                <w:sz w:val="10"/>
                <w:szCs w:val="10"/>
                <w:color w:val="auto"/>
              </w:rPr>
            </w:pPr>
          </w:p>
        </w:tc>
        <w:tc>
          <w:tcPr>
            <w:tcW w:w="500" w:type="dxa"/>
            <w:vAlign w:val="bottom"/>
            <w:tcBorders>
              <w:bottom w:val="single" w:sz="8" w:color="00B2E5"/>
              <w:right w:val="single" w:sz="8" w:color="00B2E5"/>
            </w:tcBorders>
          </w:tcPr>
          <w:p>
            <w:pPr>
              <w:ind w:left="160"/>
              <w:spacing w:after="0" w:line="126" w:lineRule="exact"/>
              <w:rPr>
                <w:sz w:val="20"/>
                <w:szCs w:val="20"/>
                <w:color w:val="auto"/>
              </w:rPr>
            </w:pPr>
            <w:r>
              <w:rPr>
                <w:rFonts w:ascii="Arial" w:cs="Arial" w:eastAsia="Arial" w:hAnsi="Arial"/>
                <w:sz w:val="12"/>
                <w:szCs w:val="12"/>
                <w:color w:val="auto"/>
              </w:rPr>
              <w:t>3.0</w:t>
            </w:r>
          </w:p>
        </w:tc>
        <w:tc>
          <w:tcPr>
            <w:tcW w:w="1920" w:type="dxa"/>
            <w:vAlign w:val="bottom"/>
            <w:tcBorders>
              <w:bottom w:val="single" w:sz="8" w:color="00B2E5"/>
            </w:tcBorders>
          </w:tcPr>
          <w:p>
            <w:pPr>
              <w:ind w:left="1740"/>
              <w:spacing w:after="0" w:line="126" w:lineRule="exact"/>
              <w:rPr>
                <w:sz w:val="20"/>
                <w:szCs w:val="20"/>
                <w:color w:val="auto"/>
              </w:rPr>
            </w:pPr>
            <w:r>
              <w:rPr>
                <w:rFonts w:ascii="Arial" w:cs="Arial" w:eastAsia="Arial" w:hAnsi="Arial"/>
                <w:sz w:val="12"/>
                <w:szCs w:val="12"/>
                <w:color w:val="auto"/>
                <w:w w:val="95"/>
              </w:rPr>
              <w:t>n/a</w:t>
            </w:r>
          </w:p>
        </w:tc>
      </w:tr>
      <w:tr>
        <w:trPr>
          <w:trHeight w:val="126"/>
        </w:trPr>
        <w:tc>
          <w:tcPr>
            <w:tcW w:w="3240" w:type="dxa"/>
            <w:vAlign w:val="bottom"/>
            <w:tcBorders>
              <w:bottom w:val="single" w:sz="8" w:color="00B2E5"/>
              <w:right w:val="single" w:sz="8" w:color="00B2E5"/>
            </w:tcBorders>
          </w:tcPr>
          <w:p>
            <w:pPr>
              <w:spacing w:after="0" w:line="126" w:lineRule="exact"/>
              <w:rPr>
                <w:sz w:val="20"/>
                <w:szCs w:val="20"/>
                <w:color w:val="auto"/>
              </w:rPr>
            </w:pPr>
            <w:r>
              <w:rPr>
                <w:rFonts w:ascii="Arial" w:cs="Arial" w:eastAsia="Arial" w:hAnsi="Arial"/>
                <w:sz w:val="12"/>
                <w:szCs w:val="12"/>
                <w:color w:val="auto"/>
              </w:rPr>
              <w:t>Stephen J. Morriss</w:t>
            </w:r>
          </w:p>
        </w:tc>
        <w:tc>
          <w:tcPr>
            <w:tcW w:w="1580" w:type="dxa"/>
            <w:vAlign w:val="bottom"/>
            <w:tcBorders>
              <w:bottom w:val="single" w:sz="8" w:color="00B2E5"/>
            </w:tcBorders>
          </w:tcPr>
          <w:p>
            <w:pPr>
              <w:spacing w:after="0"/>
              <w:rPr>
                <w:sz w:val="10"/>
                <w:szCs w:val="10"/>
                <w:color w:val="auto"/>
              </w:rPr>
            </w:pPr>
          </w:p>
        </w:tc>
        <w:tc>
          <w:tcPr>
            <w:tcW w:w="500" w:type="dxa"/>
            <w:vAlign w:val="bottom"/>
            <w:tcBorders>
              <w:bottom w:val="single" w:sz="8" w:color="00B2E5"/>
              <w:right w:val="single" w:sz="8" w:color="00B2E5"/>
            </w:tcBorders>
          </w:tcPr>
          <w:p>
            <w:pPr>
              <w:ind w:left="160"/>
              <w:spacing w:after="0" w:line="126" w:lineRule="exact"/>
              <w:rPr>
                <w:sz w:val="20"/>
                <w:szCs w:val="20"/>
                <w:color w:val="auto"/>
              </w:rPr>
            </w:pPr>
            <w:r>
              <w:rPr>
                <w:rFonts w:ascii="Arial" w:cs="Arial" w:eastAsia="Arial" w:hAnsi="Arial"/>
                <w:sz w:val="12"/>
                <w:szCs w:val="12"/>
                <w:color w:val="auto"/>
              </w:rPr>
              <w:t>3.0</w:t>
            </w:r>
          </w:p>
        </w:tc>
        <w:tc>
          <w:tcPr>
            <w:tcW w:w="1920" w:type="dxa"/>
            <w:vAlign w:val="bottom"/>
            <w:tcBorders>
              <w:bottom w:val="single" w:sz="8" w:color="00B2E5"/>
            </w:tcBorders>
          </w:tcPr>
          <w:p>
            <w:pPr>
              <w:ind w:left="1740"/>
              <w:spacing w:after="0" w:line="126" w:lineRule="exact"/>
              <w:rPr>
                <w:sz w:val="20"/>
                <w:szCs w:val="20"/>
                <w:color w:val="auto"/>
              </w:rPr>
            </w:pPr>
            <w:r>
              <w:rPr>
                <w:rFonts w:ascii="Arial" w:cs="Arial" w:eastAsia="Arial" w:hAnsi="Arial"/>
                <w:sz w:val="12"/>
                <w:szCs w:val="12"/>
                <w:color w:val="auto"/>
                <w:w w:val="95"/>
              </w:rPr>
              <w:t>n/a</w:t>
            </w:r>
          </w:p>
        </w:tc>
      </w:tr>
      <w:tr>
        <w:trPr>
          <w:trHeight w:val="126"/>
        </w:trPr>
        <w:tc>
          <w:tcPr>
            <w:tcW w:w="3240" w:type="dxa"/>
            <w:vAlign w:val="bottom"/>
            <w:tcBorders>
              <w:bottom w:val="single" w:sz="8" w:color="00B2E5"/>
              <w:right w:val="single" w:sz="8" w:color="00B2E5"/>
            </w:tcBorders>
          </w:tcPr>
          <w:p>
            <w:pPr>
              <w:spacing w:after="0" w:line="126" w:lineRule="exact"/>
              <w:rPr>
                <w:sz w:val="20"/>
                <w:szCs w:val="20"/>
                <w:color w:val="auto"/>
              </w:rPr>
            </w:pPr>
            <w:r>
              <w:rPr>
                <w:rFonts w:ascii="Arial" w:cs="Arial" w:eastAsia="Arial" w:hAnsi="Arial"/>
                <w:sz w:val="12"/>
                <w:szCs w:val="12"/>
                <w:color w:val="auto"/>
              </w:rPr>
              <w:t>Michael S. Burke</w:t>
            </w:r>
          </w:p>
        </w:tc>
        <w:tc>
          <w:tcPr>
            <w:tcW w:w="1580" w:type="dxa"/>
            <w:vAlign w:val="bottom"/>
            <w:tcBorders>
              <w:bottom w:val="single" w:sz="8" w:color="00B2E5"/>
            </w:tcBorders>
          </w:tcPr>
          <w:p>
            <w:pPr>
              <w:spacing w:after="0"/>
              <w:rPr>
                <w:sz w:val="10"/>
                <w:szCs w:val="10"/>
                <w:color w:val="auto"/>
              </w:rPr>
            </w:pPr>
          </w:p>
        </w:tc>
        <w:tc>
          <w:tcPr>
            <w:tcW w:w="500" w:type="dxa"/>
            <w:vAlign w:val="bottom"/>
            <w:tcBorders>
              <w:bottom w:val="single" w:sz="8" w:color="00B2E5"/>
              <w:right w:val="single" w:sz="8" w:color="00B2E5"/>
            </w:tcBorders>
          </w:tcPr>
          <w:p>
            <w:pPr>
              <w:ind w:left="160"/>
              <w:spacing w:after="0" w:line="126" w:lineRule="exact"/>
              <w:rPr>
                <w:sz w:val="20"/>
                <w:szCs w:val="20"/>
                <w:color w:val="auto"/>
              </w:rPr>
            </w:pPr>
            <w:r>
              <w:rPr>
                <w:rFonts w:ascii="Arial" w:cs="Arial" w:eastAsia="Arial" w:hAnsi="Arial"/>
                <w:sz w:val="12"/>
                <w:szCs w:val="12"/>
                <w:color w:val="auto"/>
              </w:rPr>
              <w:t>n/a</w:t>
            </w:r>
          </w:p>
        </w:tc>
        <w:tc>
          <w:tcPr>
            <w:tcW w:w="1920" w:type="dxa"/>
            <w:vAlign w:val="bottom"/>
            <w:tcBorders>
              <w:bottom w:val="single" w:sz="8" w:color="00B2E5"/>
            </w:tcBorders>
          </w:tcPr>
          <w:p>
            <w:pPr>
              <w:ind w:left="1740"/>
              <w:spacing w:after="0" w:line="126" w:lineRule="exact"/>
              <w:rPr>
                <w:sz w:val="20"/>
                <w:szCs w:val="20"/>
                <w:color w:val="auto"/>
              </w:rPr>
            </w:pPr>
            <w:r>
              <w:rPr>
                <w:rFonts w:ascii="Arial" w:cs="Arial" w:eastAsia="Arial" w:hAnsi="Arial"/>
                <w:sz w:val="12"/>
                <w:szCs w:val="12"/>
                <w:color w:val="auto"/>
                <w:w w:val="95"/>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76770" cy="114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Benefit, Retirement and Perquisite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To protect the Company's executives' health and well-being, facilitate the operation of the business, assist in the retention of current executives and aid in the recruitment of new executives, AECOM's NEOs are eligible to participate in benefit plans that are available to a substantial amount of all employees, including participation in retirement plans, medical insurance, dental insurance, life insurance and disability insurance programs. Further, the Company offers certain additional benefits only to executive officers and other senior officers, where applicable, which consist of the following:</w:t>
      </w:r>
    </w:p>
    <w:p>
      <w:pPr>
        <w:spacing w:after="0" w:line="114" w:lineRule="exact"/>
        <w:rPr>
          <w:sz w:val="20"/>
          <w:szCs w:val="20"/>
          <w:color w:val="auto"/>
        </w:rPr>
      </w:pPr>
    </w:p>
    <w:p>
      <w:pPr>
        <w:ind w:left="720" w:hanging="362"/>
        <w:spacing w:after="0"/>
        <w:tabs>
          <w:tab w:leader="none" w:pos="720" w:val="left"/>
        </w:tabs>
        <w:numPr>
          <w:ilvl w:val="0"/>
          <w:numId w:val="52"/>
        </w:numPr>
        <w:rPr>
          <w:rFonts w:ascii="Arial" w:cs="Arial" w:eastAsia="Arial" w:hAnsi="Arial"/>
          <w:sz w:val="12"/>
          <w:szCs w:val="12"/>
          <w:color w:val="auto"/>
        </w:rPr>
      </w:pPr>
      <w:r>
        <w:rPr>
          <w:rFonts w:ascii="Arial" w:cs="Arial" w:eastAsia="Arial" w:hAnsi="Arial"/>
          <w:sz w:val="12"/>
          <w:szCs w:val="12"/>
          <w:b w:val="1"/>
          <w:bCs w:val="1"/>
          <w:i w:val="1"/>
          <w:iCs w:val="1"/>
          <w:color w:val="00B2E5"/>
        </w:rPr>
        <w:t xml:space="preserve">Executive Life Insurance. </w:t>
      </w:r>
      <w:r>
        <w:rPr>
          <w:rFonts w:ascii="Arial" w:cs="Arial" w:eastAsia="Arial" w:hAnsi="Arial"/>
          <w:sz w:val="12"/>
          <w:szCs w:val="12"/>
          <w:color w:val="000000"/>
        </w:rPr>
        <w:t>AECOM provides life insurance coverage with a benefit of up to $2 million for each NEO.</w:t>
      </w:r>
    </w:p>
    <w:p>
      <w:pPr>
        <w:spacing w:after="0" w:line="144" w:lineRule="exact"/>
        <w:rPr>
          <w:rFonts w:ascii="Arial" w:cs="Arial" w:eastAsia="Arial" w:hAnsi="Arial"/>
          <w:sz w:val="12"/>
          <w:szCs w:val="12"/>
          <w:color w:val="auto"/>
        </w:rPr>
      </w:pPr>
    </w:p>
    <w:p>
      <w:pPr>
        <w:ind w:left="720" w:hanging="362"/>
        <w:spacing w:after="0" w:line="274" w:lineRule="auto"/>
        <w:tabs>
          <w:tab w:leader="none" w:pos="720" w:val="left"/>
        </w:tabs>
        <w:numPr>
          <w:ilvl w:val="0"/>
          <w:numId w:val="52"/>
        </w:numPr>
        <w:rPr>
          <w:rFonts w:ascii="Arial" w:cs="Arial" w:eastAsia="Arial" w:hAnsi="Arial"/>
          <w:sz w:val="12"/>
          <w:szCs w:val="12"/>
          <w:color w:val="auto"/>
        </w:rPr>
      </w:pPr>
      <w:r>
        <w:rPr>
          <w:rFonts w:ascii="Arial" w:cs="Arial" w:eastAsia="Arial" w:hAnsi="Arial"/>
          <w:sz w:val="12"/>
          <w:szCs w:val="12"/>
          <w:b w:val="1"/>
          <w:bCs w:val="1"/>
          <w:i w:val="1"/>
          <w:iCs w:val="1"/>
          <w:color w:val="00B2E5"/>
        </w:rPr>
        <w:t xml:space="preserve">Executive Disability Program. </w:t>
      </w:r>
      <w:r>
        <w:rPr>
          <w:rFonts w:ascii="Arial" w:cs="Arial" w:eastAsia="Arial" w:hAnsi="Arial"/>
          <w:sz w:val="12"/>
          <w:szCs w:val="12"/>
          <w:color w:val="000000"/>
        </w:rPr>
        <w:t>AECOM provides an Executive Disability Program, which offers salary replacement of up to 60% of salary in the event of an executive's disability (maximum $25,000 per</w:t>
      </w:r>
      <w:r>
        <w:rPr>
          <w:rFonts w:ascii="Arial" w:cs="Arial" w:eastAsia="Arial" w:hAnsi="Arial"/>
          <w:sz w:val="12"/>
          <w:szCs w:val="12"/>
          <w:b w:val="1"/>
          <w:bCs w:val="1"/>
          <w:i w:val="1"/>
          <w:iCs w:val="1"/>
          <w:color w:val="00B2E5"/>
        </w:rPr>
        <w:t xml:space="preserve"> </w:t>
      </w:r>
      <w:r>
        <w:rPr>
          <w:rFonts w:ascii="Arial" w:cs="Arial" w:eastAsia="Arial" w:hAnsi="Arial"/>
          <w:sz w:val="12"/>
          <w:szCs w:val="12"/>
          <w:color w:val="000000"/>
        </w:rPr>
        <w:t>month).</w:t>
      </w:r>
    </w:p>
    <w:p>
      <w:pPr>
        <w:spacing w:after="0" w:line="95" w:lineRule="exact"/>
        <w:rPr>
          <w:rFonts w:ascii="Arial" w:cs="Arial" w:eastAsia="Arial" w:hAnsi="Arial"/>
          <w:sz w:val="12"/>
          <w:szCs w:val="12"/>
          <w:color w:val="auto"/>
        </w:rPr>
      </w:pPr>
    </w:p>
    <w:p>
      <w:pPr>
        <w:ind w:left="720" w:hanging="362"/>
        <w:spacing w:after="0" w:line="274" w:lineRule="auto"/>
        <w:tabs>
          <w:tab w:leader="none" w:pos="720" w:val="left"/>
        </w:tabs>
        <w:numPr>
          <w:ilvl w:val="0"/>
          <w:numId w:val="52"/>
        </w:numPr>
        <w:rPr>
          <w:rFonts w:ascii="Arial" w:cs="Arial" w:eastAsia="Arial" w:hAnsi="Arial"/>
          <w:sz w:val="12"/>
          <w:szCs w:val="12"/>
          <w:color w:val="auto"/>
        </w:rPr>
      </w:pPr>
      <w:r>
        <w:rPr>
          <w:rFonts w:ascii="Arial" w:cs="Arial" w:eastAsia="Arial" w:hAnsi="Arial"/>
          <w:sz w:val="12"/>
          <w:szCs w:val="12"/>
          <w:b w:val="1"/>
          <w:bCs w:val="1"/>
          <w:i w:val="1"/>
          <w:iCs w:val="1"/>
          <w:color w:val="00B2E5"/>
        </w:rPr>
        <w:t xml:space="preserve">Executive Health Program. </w:t>
      </w:r>
      <w:r>
        <w:rPr>
          <w:rFonts w:ascii="Arial" w:cs="Arial" w:eastAsia="Arial" w:hAnsi="Arial"/>
          <w:sz w:val="12"/>
          <w:szCs w:val="12"/>
          <w:color w:val="000000"/>
        </w:rPr>
        <w:t>Mr. Burke is the only remaining participant of this program that has been frozen to new participants. This plan provides up to 100% reimbursement for specified medical,</w:t>
      </w:r>
      <w:r>
        <w:rPr>
          <w:rFonts w:ascii="Arial" w:cs="Arial" w:eastAsia="Arial" w:hAnsi="Arial"/>
          <w:sz w:val="12"/>
          <w:szCs w:val="12"/>
          <w:b w:val="1"/>
          <w:bCs w:val="1"/>
          <w:i w:val="1"/>
          <w:iCs w:val="1"/>
          <w:color w:val="00B2E5"/>
        </w:rPr>
        <w:t xml:space="preserve"> </w:t>
      </w:r>
      <w:r>
        <w:rPr>
          <w:rFonts w:ascii="Arial" w:cs="Arial" w:eastAsia="Arial" w:hAnsi="Arial"/>
          <w:sz w:val="12"/>
          <w:szCs w:val="12"/>
          <w:color w:val="000000"/>
        </w:rPr>
        <w:t>prescription, dental and vision expenses.</w:t>
      </w:r>
    </w:p>
    <w:p>
      <w:pPr>
        <w:spacing w:after="0" w:line="95" w:lineRule="exact"/>
        <w:rPr>
          <w:rFonts w:ascii="Arial" w:cs="Arial" w:eastAsia="Arial" w:hAnsi="Arial"/>
          <w:sz w:val="12"/>
          <w:szCs w:val="12"/>
          <w:color w:val="auto"/>
        </w:rPr>
      </w:pPr>
    </w:p>
    <w:p>
      <w:pPr>
        <w:ind w:left="720" w:hanging="362"/>
        <w:spacing w:after="0" w:line="274" w:lineRule="auto"/>
        <w:tabs>
          <w:tab w:leader="none" w:pos="720" w:val="left"/>
        </w:tabs>
        <w:numPr>
          <w:ilvl w:val="0"/>
          <w:numId w:val="52"/>
        </w:numPr>
        <w:rPr>
          <w:rFonts w:ascii="Arial" w:cs="Arial" w:eastAsia="Arial" w:hAnsi="Arial"/>
          <w:sz w:val="12"/>
          <w:szCs w:val="12"/>
          <w:color w:val="auto"/>
        </w:rPr>
      </w:pPr>
      <w:r>
        <w:rPr>
          <w:rFonts w:ascii="Arial" w:cs="Arial" w:eastAsia="Arial" w:hAnsi="Arial"/>
          <w:sz w:val="12"/>
          <w:szCs w:val="12"/>
          <w:b w:val="1"/>
          <w:bCs w:val="1"/>
          <w:i w:val="1"/>
          <w:iCs w:val="1"/>
          <w:color w:val="00B2E5"/>
        </w:rPr>
        <w:t xml:space="preserve">AECOM Executive Deferred Compensation Plan. </w:t>
      </w:r>
      <w:r>
        <w:rPr>
          <w:rFonts w:ascii="Arial" w:cs="Arial" w:eastAsia="Arial" w:hAnsi="Arial"/>
          <w:sz w:val="12"/>
          <w:szCs w:val="12"/>
          <w:color w:val="000000"/>
        </w:rPr>
        <w:t>A non-qualified deferred compensation plan that enables highly compensated U.S. employees to defer income tax on components of their</w:t>
      </w:r>
      <w:r>
        <w:rPr>
          <w:rFonts w:ascii="Arial" w:cs="Arial" w:eastAsia="Arial" w:hAnsi="Arial"/>
          <w:sz w:val="12"/>
          <w:szCs w:val="12"/>
          <w:b w:val="1"/>
          <w:bCs w:val="1"/>
          <w:i w:val="1"/>
          <w:iCs w:val="1"/>
          <w:color w:val="00B2E5"/>
        </w:rPr>
        <w:t xml:space="preserve"> </w:t>
      </w:r>
      <w:r>
        <w:rPr>
          <w:rFonts w:ascii="Arial" w:cs="Arial" w:eastAsia="Arial" w:hAnsi="Arial"/>
          <w:sz w:val="12"/>
          <w:szCs w:val="12"/>
          <w:color w:val="000000"/>
        </w:rPr>
        <w:t>compensation.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3" w:name="page84"/>
    <w:bookmarkEnd w:id="83"/>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ind w:left="720" w:right="20" w:hanging="362"/>
        <w:spacing w:after="0" w:line="274" w:lineRule="auto"/>
        <w:tabs>
          <w:tab w:leader="none" w:pos="720" w:val="left"/>
        </w:tabs>
        <w:numPr>
          <w:ilvl w:val="0"/>
          <w:numId w:val="53"/>
        </w:numPr>
        <w:rPr>
          <w:rFonts w:ascii="Arial" w:cs="Arial" w:eastAsia="Arial" w:hAnsi="Arial"/>
          <w:sz w:val="12"/>
          <w:szCs w:val="12"/>
          <w:color w:val="auto"/>
        </w:rPr>
      </w:pPr>
      <w:r>
        <w:rPr>
          <w:rFonts w:ascii="Arial" w:cs="Arial" w:eastAsia="Arial" w:hAnsi="Arial"/>
          <w:sz w:val="12"/>
          <w:szCs w:val="12"/>
          <w:b w:val="1"/>
          <w:bCs w:val="1"/>
          <w:i w:val="1"/>
          <w:iCs w:val="1"/>
          <w:color w:val="00B2E5"/>
        </w:rPr>
        <w:t xml:space="preserve">Perquisites. </w:t>
      </w:r>
      <w:r>
        <w:rPr>
          <w:rFonts w:ascii="Arial" w:cs="Arial" w:eastAsia="Arial" w:hAnsi="Arial"/>
          <w:sz w:val="12"/>
          <w:szCs w:val="12"/>
          <w:color w:val="000000"/>
        </w:rPr>
        <w:t>The Company believes that offering certain limited perquisites, including an executive allowance to offset normal business expenses incurred by the executive in service to the Company,</w:t>
      </w:r>
      <w:r>
        <w:rPr>
          <w:rFonts w:ascii="Arial" w:cs="Arial" w:eastAsia="Arial" w:hAnsi="Arial"/>
          <w:sz w:val="12"/>
          <w:szCs w:val="12"/>
          <w:b w:val="1"/>
          <w:bCs w:val="1"/>
          <w:i w:val="1"/>
          <w:iCs w:val="1"/>
          <w:color w:val="00B2E5"/>
        </w:rPr>
        <w:t xml:space="preserve"> </w:t>
      </w:r>
      <w:r>
        <w:rPr>
          <w:rFonts w:ascii="Arial" w:cs="Arial" w:eastAsia="Arial" w:hAnsi="Arial"/>
          <w:sz w:val="12"/>
          <w:szCs w:val="12"/>
          <w:color w:val="000000"/>
        </w:rPr>
        <w:t>facilitates the operation of AECOM's business and assists in executive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76770" cy="114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Employment Agreements, Severance Benefits and Change in Control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The Company has entered into a letter agreement with Mr. Burke dated March 6, 2014 and amended May 8, 2018 to add certain post-employment health insurance benefits; a letter agreement with Mr. Rudd dated June 20, 2020; and an employment agreement with Ms. Poloni dated October 19, 2020. Details of these agreements along with benefits provided to our NEOs under the AECOM Senior Leadership Severance Plan and AECOM Technology Corporation Change in Control Severance Policy for Key Executives can be found under the "PAYMENTS AND BENEFITS UPON TERMINATION OR CHANGE IN CONTROL" section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76770" cy="114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Clawback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Compensation Committee maintains a clawback policy applicable to all current and former Section 16 officers that will apply if there is an accounting restatement due to material noncompliance with any financial reporting requirement under the securities laws. The Company is authorized to recover a portion of any short-term cash and long-term equity incentive awards paid to current or former executive officers during the three full fiscal years prior to the date of the covered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80010</wp:posOffset>
            </wp:positionV>
            <wp:extent cx="7176770" cy="114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Hedging and Anti-Pledging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color w:val="auto"/>
        </w:rPr>
        <w:t>The Company's insider trading policy prohibits all directors, executive officers (as defined by Section 16 of the Exchange Act) and certain other employees designated as insiders from engaging in any hedging or monetization transactions, such as zero-cost collars and forward-sale contracts, involving Company securities.</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In addition, the policy prohibits buying shares on margin and the pledging of Company securities by NEOs except in certain limited circumstances subject to Company approval and demonstration of the NEO's ability to repay the applicable loan without selling such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4" w:name="page85"/>
    <w:bookmarkEnd w:id="84"/>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ind w:right="20"/>
        <w:spacing w:after="0" w:line="299" w:lineRule="auto"/>
        <w:rPr>
          <w:sz w:val="20"/>
          <w:szCs w:val="20"/>
          <w:color w:val="auto"/>
        </w:rPr>
      </w:pPr>
      <w:r>
        <w:rPr>
          <w:rFonts w:ascii="Arial" w:cs="Arial" w:eastAsia="Arial" w:hAnsi="Arial"/>
          <w:sz w:val="29"/>
          <w:szCs w:val="29"/>
          <w:b w:val="1"/>
          <w:bCs w:val="1"/>
          <w:color w:val="00B2E5"/>
        </w:rPr>
        <w:t>REPORT OF THE COMPENSATION AND ORGANIZATION COMMITTEE OF THE BOARD OF DIRECTORS</w:t>
      </w:r>
    </w:p>
    <w:p>
      <w:pPr>
        <w:spacing w:after="0" w:line="17"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The Compensation Committee has reviewed and discussed with management the Compensation Discussion and Analysis and, based on such review and discussions, recommended to the Board that the Compensation Discussion and Analysis be included in the Company's Annual Report on Form 10-K and this Proxy Statement.</w:t>
      </w:r>
    </w:p>
    <w:p>
      <w:pPr>
        <w:spacing w:after="0" w:line="104"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Respectfully submitted,</w:t>
      </w:r>
    </w:p>
    <w:p>
      <w:pPr>
        <w:spacing w:after="0" w:line="163"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Steven A. Kandarian, Chair</w:t>
      </w:r>
    </w:p>
    <w:p>
      <w:pPr>
        <w:spacing w:after="0" w:line="11"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Bradley W. Buss</w:t>
      </w:r>
    </w:p>
    <w:p>
      <w:pPr>
        <w:ind w:left="5660"/>
        <w:spacing w:after="0" w:line="237" w:lineRule="auto"/>
        <w:rPr>
          <w:sz w:val="20"/>
          <w:szCs w:val="20"/>
          <w:color w:val="auto"/>
        </w:rPr>
      </w:pPr>
      <w:r>
        <w:rPr>
          <w:rFonts w:ascii="Arial" w:cs="Arial" w:eastAsia="Arial" w:hAnsi="Arial"/>
          <w:sz w:val="12"/>
          <w:szCs w:val="12"/>
          <w:color w:val="auto"/>
        </w:rPr>
        <w:t>Jacqueline C. Hinman</w:t>
      </w:r>
    </w:p>
    <w:p>
      <w:pPr>
        <w:ind w:left="5660"/>
        <w:spacing w:after="0"/>
        <w:rPr>
          <w:sz w:val="20"/>
          <w:szCs w:val="20"/>
          <w:color w:val="auto"/>
        </w:rPr>
      </w:pPr>
      <w:r>
        <w:rPr>
          <w:rFonts w:ascii="Arial" w:cs="Arial" w:eastAsia="Arial" w:hAnsi="Arial"/>
          <w:sz w:val="12"/>
          <w:szCs w:val="12"/>
          <w:color w:val="auto"/>
        </w:rPr>
        <w:t>Dr. Robert J. Routs</w:t>
      </w:r>
    </w:p>
    <w:p>
      <w:pPr>
        <w:ind w:left="5660"/>
        <w:spacing w:after="0"/>
        <w:rPr>
          <w:sz w:val="20"/>
          <w:szCs w:val="20"/>
          <w:color w:val="auto"/>
        </w:rPr>
      </w:pPr>
      <w:r>
        <w:rPr>
          <w:rFonts w:ascii="Arial" w:cs="Arial" w:eastAsia="Arial" w:hAnsi="Arial"/>
          <w:sz w:val="12"/>
          <w:szCs w:val="12"/>
          <w:color w:val="auto"/>
        </w:rPr>
        <w:t>Clarence T. Schmitz</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5" w:name="page86"/>
    <w:bookmarkEnd w:id="85"/>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EXECUTIVE COMPENSATION TABLES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provide information regarding the compensation awarded to or earned during the fiscal years ended September 30, 2020, 2019 and 2018 by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76770" cy="114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Summary Compensation Table for Fiscal Years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5"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1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tcPr>
          <w:p>
            <w:pPr>
              <w:jc w:val="right"/>
              <w:ind w:right="131"/>
              <w:spacing w:after="0"/>
              <w:rPr>
                <w:sz w:val="20"/>
                <w:szCs w:val="20"/>
                <w:color w:val="auto"/>
              </w:rPr>
            </w:pPr>
            <w:r>
              <w:rPr>
                <w:rFonts w:ascii="Arial" w:cs="Arial" w:eastAsia="Arial" w:hAnsi="Arial"/>
                <w:sz w:val="10"/>
                <w:szCs w:val="10"/>
                <w:b w:val="1"/>
                <w:bCs w:val="1"/>
                <w:color w:val="auto"/>
              </w:rPr>
              <w:t>Change in</w:t>
            </w:r>
          </w:p>
        </w:tc>
        <w:tc>
          <w:tcPr>
            <w:tcW w:w="1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09"/>
        </w:trPr>
        <w:tc>
          <w:tcPr>
            <w:tcW w:w="1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jc w:val="right"/>
              <w:ind w:right="131"/>
              <w:spacing w:after="0" w:line="110" w:lineRule="exact"/>
              <w:rPr>
                <w:sz w:val="20"/>
                <w:szCs w:val="20"/>
                <w:color w:val="auto"/>
              </w:rPr>
            </w:pPr>
            <w:r>
              <w:rPr>
                <w:rFonts w:ascii="Arial" w:cs="Arial" w:eastAsia="Arial" w:hAnsi="Arial"/>
                <w:sz w:val="10"/>
                <w:szCs w:val="10"/>
                <w:b w:val="1"/>
                <w:bCs w:val="1"/>
                <w:color w:val="auto"/>
              </w:rPr>
              <w:t>Pension</w:t>
            </w:r>
          </w:p>
        </w:tc>
        <w:tc>
          <w:tcPr>
            <w:tcW w:w="1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9"/>
        </w:trPr>
        <w:tc>
          <w:tcPr>
            <w:tcW w:w="1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jc w:val="right"/>
              <w:ind w:right="131"/>
              <w:spacing w:after="0" w:line="110" w:lineRule="exact"/>
              <w:rPr>
                <w:sz w:val="20"/>
                <w:szCs w:val="20"/>
                <w:color w:val="auto"/>
              </w:rPr>
            </w:pPr>
            <w:r>
              <w:rPr>
                <w:rFonts w:ascii="Arial" w:cs="Arial" w:eastAsia="Arial" w:hAnsi="Arial"/>
                <w:sz w:val="10"/>
                <w:szCs w:val="10"/>
                <w:b w:val="1"/>
                <w:bCs w:val="1"/>
                <w:color w:val="auto"/>
              </w:rPr>
              <w:t>Value and</w:t>
            </w:r>
          </w:p>
        </w:tc>
        <w:tc>
          <w:tcPr>
            <w:tcW w:w="1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9"/>
        </w:trPr>
        <w:tc>
          <w:tcPr>
            <w:tcW w:w="1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jc w:val="right"/>
              <w:ind w:right="131"/>
              <w:spacing w:after="0" w:line="110" w:lineRule="exact"/>
              <w:rPr>
                <w:sz w:val="20"/>
                <w:szCs w:val="20"/>
                <w:color w:val="auto"/>
              </w:rPr>
            </w:pPr>
            <w:r>
              <w:rPr>
                <w:rFonts w:ascii="Arial" w:cs="Arial" w:eastAsia="Arial" w:hAnsi="Arial"/>
                <w:sz w:val="10"/>
                <w:szCs w:val="10"/>
                <w:b w:val="1"/>
                <w:bCs w:val="1"/>
                <w:color w:val="auto"/>
              </w:rPr>
              <w:t>Non-Equity</w:t>
            </w:r>
          </w:p>
        </w:tc>
        <w:tc>
          <w:tcPr>
            <w:tcW w:w="1020" w:type="dxa"/>
            <w:vAlign w:val="bottom"/>
          </w:tcPr>
          <w:p>
            <w:pPr>
              <w:jc w:val="right"/>
              <w:ind w:right="131"/>
              <w:spacing w:after="0" w:line="110" w:lineRule="exact"/>
              <w:rPr>
                <w:sz w:val="20"/>
                <w:szCs w:val="20"/>
                <w:color w:val="auto"/>
              </w:rPr>
            </w:pPr>
            <w:r>
              <w:rPr>
                <w:rFonts w:ascii="Arial" w:cs="Arial" w:eastAsia="Arial" w:hAnsi="Arial"/>
                <w:sz w:val="10"/>
                <w:szCs w:val="10"/>
                <w:b w:val="1"/>
                <w:bCs w:val="1"/>
                <w:color w:val="auto"/>
              </w:rPr>
              <w:t>Nonqualified</w:t>
            </w:r>
          </w:p>
        </w:tc>
        <w:tc>
          <w:tcPr>
            <w:tcW w:w="1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9"/>
        </w:trPr>
        <w:tc>
          <w:tcPr>
            <w:tcW w:w="1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jc w:val="right"/>
              <w:ind w:right="91"/>
              <w:spacing w:after="0" w:line="110" w:lineRule="exact"/>
              <w:rPr>
                <w:sz w:val="20"/>
                <w:szCs w:val="20"/>
                <w:color w:val="auto"/>
              </w:rPr>
            </w:pPr>
            <w:r>
              <w:rPr>
                <w:rFonts w:ascii="Arial" w:cs="Arial" w:eastAsia="Arial" w:hAnsi="Arial"/>
                <w:sz w:val="10"/>
                <w:szCs w:val="10"/>
                <w:b w:val="1"/>
                <w:bCs w:val="1"/>
                <w:color w:val="auto"/>
              </w:rPr>
              <w:t>Stock</w:t>
            </w:r>
          </w:p>
        </w:tc>
        <w:tc>
          <w:tcPr>
            <w:tcW w:w="900" w:type="dxa"/>
            <w:vAlign w:val="bottom"/>
          </w:tcPr>
          <w:p>
            <w:pPr>
              <w:spacing w:after="0"/>
              <w:rPr>
                <w:sz w:val="9"/>
                <w:szCs w:val="9"/>
                <w:color w:val="auto"/>
              </w:rPr>
            </w:pPr>
          </w:p>
        </w:tc>
        <w:tc>
          <w:tcPr>
            <w:tcW w:w="980" w:type="dxa"/>
            <w:vAlign w:val="bottom"/>
          </w:tcPr>
          <w:p>
            <w:pPr>
              <w:jc w:val="right"/>
              <w:ind w:right="131"/>
              <w:spacing w:after="0" w:line="110" w:lineRule="exact"/>
              <w:rPr>
                <w:sz w:val="20"/>
                <w:szCs w:val="20"/>
                <w:color w:val="auto"/>
              </w:rPr>
            </w:pPr>
            <w:r>
              <w:rPr>
                <w:rFonts w:ascii="Arial" w:cs="Arial" w:eastAsia="Arial" w:hAnsi="Arial"/>
                <w:sz w:val="10"/>
                <w:szCs w:val="10"/>
                <w:b w:val="1"/>
                <w:bCs w:val="1"/>
                <w:color w:val="auto"/>
              </w:rPr>
              <w:t>Incentive Plan</w:t>
            </w:r>
          </w:p>
        </w:tc>
        <w:tc>
          <w:tcPr>
            <w:tcW w:w="1020" w:type="dxa"/>
            <w:vAlign w:val="bottom"/>
          </w:tcPr>
          <w:p>
            <w:pPr>
              <w:jc w:val="right"/>
              <w:ind w:right="131"/>
              <w:spacing w:after="0" w:line="110" w:lineRule="exact"/>
              <w:rPr>
                <w:sz w:val="20"/>
                <w:szCs w:val="20"/>
                <w:color w:val="auto"/>
              </w:rPr>
            </w:pPr>
            <w:r>
              <w:rPr>
                <w:rFonts w:ascii="Arial" w:cs="Arial" w:eastAsia="Arial" w:hAnsi="Arial"/>
                <w:sz w:val="10"/>
                <w:szCs w:val="10"/>
                <w:b w:val="1"/>
                <w:bCs w:val="1"/>
                <w:color w:val="auto"/>
              </w:rPr>
              <w:t>Deferred</w:t>
            </w:r>
          </w:p>
        </w:tc>
        <w:tc>
          <w:tcPr>
            <w:tcW w:w="1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9"/>
        </w:trPr>
        <w:tc>
          <w:tcPr>
            <w:tcW w:w="1680" w:type="dxa"/>
            <w:vAlign w:val="bottom"/>
          </w:tcPr>
          <w:p>
            <w:pPr>
              <w:spacing w:after="0" w:line="110" w:lineRule="exact"/>
              <w:rPr>
                <w:sz w:val="20"/>
                <w:szCs w:val="20"/>
                <w:color w:val="auto"/>
              </w:rPr>
            </w:pPr>
            <w:r>
              <w:rPr>
                <w:rFonts w:ascii="Arial" w:cs="Arial" w:eastAsia="Arial" w:hAnsi="Arial"/>
                <w:sz w:val="10"/>
                <w:szCs w:val="10"/>
                <w:b w:val="1"/>
                <w:bCs w:val="1"/>
                <w:color w:val="auto"/>
              </w:rPr>
              <w:t>Name and Principal</w:t>
            </w:r>
          </w:p>
        </w:tc>
        <w:tc>
          <w:tcPr>
            <w:tcW w:w="400" w:type="dxa"/>
            <w:vAlign w:val="bottom"/>
          </w:tcPr>
          <w:p>
            <w:pPr>
              <w:spacing w:after="0"/>
              <w:rPr>
                <w:sz w:val="9"/>
                <w:szCs w:val="9"/>
                <w:color w:val="auto"/>
              </w:rPr>
            </w:pPr>
          </w:p>
        </w:tc>
        <w:tc>
          <w:tcPr>
            <w:tcW w:w="760" w:type="dxa"/>
            <w:vAlign w:val="bottom"/>
          </w:tcPr>
          <w:p>
            <w:pPr>
              <w:jc w:val="right"/>
              <w:ind w:right="71"/>
              <w:spacing w:after="0" w:line="110" w:lineRule="exact"/>
              <w:rPr>
                <w:sz w:val="20"/>
                <w:szCs w:val="20"/>
                <w:color w:val="auto"/>
              </w:rPr>
            </w:pPr>
            <w:r>
              <w:rPr>
                <w:rFonts w:ascii="Arial" w:cs="Arial" w:eastAsia="Arial" w:hAnsi="Arial"/>
                <w:sz w:val="10"/>
                <w:szCs w:val="10"/>
                <w:b w:val="1"/>
                <w:bCs w:val="1"/>
                <w:color w:val="auto"/>
              </w:rPr>
              <w:t>Salary</w:t>
            </w:r>
          </w:p>
        </w:tc>
        <w:tc>
          <w:tcPr>
            <w:tcW w:w="680" w:type="dxa"/>
            <w:vAlign w:val="bottom"/>
          </w:tcPr>
          <w:p>
            <w:pPr>
              <w:spacing w:after="0"/>
              <w:rPr>
                <w:sz w:val="9"/>
                <w:szCs w:val="9"/>
                <w:color w:val="auto"/>
              </w:rPr>
            </w:pPr>
          </w:p>
        </w:tc>
        <w:tc>
          <w:tcPr>
            <w:tcW w:w="800" w:type="dxa"/>
            <w:vAlign w:val="bottom"/>
          </w:tcPr>
          <w:p>
            <w:pPr>
              <w:jc w:val="right"/>
              <w:ind w:right="91"/>
              <w:spacing w:after="0" w:line="110" w:lineRule="exact"/>
              <w:rPr>
                <w:sz w:val="20"/>
                <w:szCs w:val="20"/>
                <w:color w:val="auto"/>
              </w:rPr>
            </w:pPr>
            <w:r>
              <w:rPr>
                <w:rFonts w:ascii="Arial" w:cs="Arial" w:eastAsia="Arial" w:hAnsi="Arial"/>
                <w:sz w:val="10"/>
                <w:szCs w:val="10"/>
                <w:b w:val="1"/>
                <w:bCs w:val="1"/>
                <w:color w:val="auto"/>
              </w:rPr>
              <w:t>Awards</w:t>
            </w:r>
          </w:p>
        </w:tc>
        <w:tc>
          <w:tcPr>
            <w:tcW w:w="900" w:type="dxa"/>
            <w:vAlign w:val="bottom"/>
          </w:tcPr>
          <w:p>
            <w:pPr>
              <w:jc w:val="right"/>
              <w:ind w:right="211"/>
              <w:spacing w:after="0" w:line="110" w:lineRule="exact"/>
              <w:rPr>
                <w:sz w:val="20"/>
                <w:szCs w:val="20"/>
                <w:color w:val="auto"/>
              </w:rPr>
            </w:pPr>
            <w:r>
              <w:rPr>
                <w:rFonts w:ascii="Arial" w:cs="Arial" w:eastAsia="Arial" w:hAnsi="Arial"/>
                <w:sz w:val="10"/>
                <w:szCs w:val="10"/>
                <w:b w:val="1"/>
                <w:bCs w:val="1"/>
                <w:color w:val="auto"/>
              </w:rPr>
              <w:t>Option</w:t>
            </w:r>
          </w:p>
        </w:tc>
        <w:tc>
          <w:tcPr>
            <w:tcW w:w="980" w:type="dxa"/>
            <w:vAlign w:val="bottom"/>
          </w:tcPr>
          <w:p>
            <w:pPr>
              <w:jc w:val="right"/>
              <w:ind w:right="131"/>
              <w:spacing w:after="0" w:line="110" w:lineRule="exact"/>
              <w:rPr>
                <w:sz w:val="20"/>
                <w:szCs w:val="20"/>
                <w:color w:val="auto"/>
              </w:rPr>
            </w:pPr>
            <w:r>
              <w:rPr>
                <w:rFonts w:ascii="Arial" w:cs="Arial" w:eastAsia="Arial" w:hAnsi="Arial"/>
                <w:sz w:val="10"/>
                <w:szCs w:val="10"/>
                <w:b w:val="1"/>
                <w:bCs w:val="1"/>
                <w:color w:val="auto"/>
              </w:rPr>
              <w:t>Compensation</w:t>
            </w:r>
          </w:p>
        </w:tc>
        <w:tc>
          <w:tcPr>
            <w:tcW w:w="1020" w:type="dxa"/>
            <w:vAlign w:val="bottom"/>
          </w:tcPr>
          <w:p>
            <w:pPr>
              <w:jc w:val="right"/>
              <w:ind w:right="131"/>
              <w:spacing w:after="0" w:line="110" w:lineRule="exact"/>
              <w:rPr>
                <w:sz w:val="20"/>
                <w:szCs w:val="20"/>
                <w:color w:val="auto"/>
              </w:rPr>
            </w:pPr>
            <w:r>
              <w:rPr>
                <w:rFonts w:ascii="Arial" w:cs="Arial" w:eastAsia="Arial" w:hAnsi="Arial"/>
                <w:sz w:val="10"/>
                <w:szCs w:val="10"/>
                <w:b w:val="1"/>
                <w:bCs w:val="1"/>
                <w:color w:val="auto"/>
              </w:rPr>
              <w:t>Compensation</w:t>
            </w:r>
          </w:p>
        </w:tc>
        <w:tc>
          <w:tcPr>
            <w:tcW w:w="1160" w:type="dxa"/>
            <w:vAlign w:val="bottom"/>
          </w:tcPr>
          <w:p>
            <w:pPr>
              <w:jc w:val="right"/>
              <w:ind w:right="271"/>
              <w:spacing w:after="0" w:line="110" w:lineRule="exact"/>
              <w:rPr>
                <w:sz w:val="20"/>
                <w:szCs w:val="20"/>
                <w:color w:val="auto"/>
              </w:rPr>
            </w:pPr>
            <w:r>
              <w:rPr>
                <w:rFonts w:ascii="Arial" w:cs="Arial" w:eastAsia="Arial" w:hAnsi="Arial"/>
                <w:sz w:val="10"/>
                <w:szCs w:val="10"/>
                <w:b w:val="1"/>
                <w:bCs w:val="1"/>
                <w:color w:val="auto"/>
              </w:rPr>
              <w:t>All Other</w:t>
            </w: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8"/>
        </w:trPr>
        <w:tc>
          <w:tcPr>
            <w:tcW w:w="1680" w:type="dxa"/>
            <w:vAlign w:val="bottom"/>
          </w:tcPr>
          <w:p>
            <w:pPr>
              <w:spacing w:after="0"/>
              <w:rPr>
                <w:sz w:val="20"/>
                <w:szCs w:val="20"/>
                <w:color w:val="auto"/>
              </w:rPr>
            </w:pPr>
            <w:r>
              <w:rPr>
                <w:rFonts w:ascii="Arial" w:cs="Arial" w:eastAsia="Arial" w:hAnsi="Arial"/>
                <w:sz w:val="10"/>
                <w:szCs w:val="10"/>
                <w:b w:val="1"/>
                <w:bCs w:val="1"/>
                <w:color w:val="auto"/>
              </w:rPr>
              <w:t>Position</w:t>
            </w:r>
          </w:p>
        </w:tc>
        <w:tc>
          <w:tcPr>
            <w:tcW w:w="400" w:type="dxa"/>
            <w:vAlign w:val="bottom"/>
          </w:tcPr>
          <w:p>
            <w:pPr>
              <w:jc w:val="right"/>
              <w:ind w:right="131"/>
              <w:spacing w:after="0"/>
              <w:rPr>
                <w:sz w:val="20"/>
                <w:szCs w:val="20"/>
                <w:color w:val="auto"/>
              </w:rPr>
            </w:pPr>
            <w:r>
              <w:rPr>
                <w:rFonts w:ascii="Arial" w:cs="Arial" w:eastAsia="Arial" w:hAnsi="Arial"/>
                <w:sz w:val="10"/>
                <w:szCs w:val="10"/>
                <w:b w:val="1"/>
                <w:bCs w:val="1"/>
                <w:color w:val="auto"/>
                <w:w w:val="92"/>
              </w:rPr>
              <w:t>Year</w:t>
            </w:r>
          </w:p>
        </w:tc>
        <w:tc>
          <w:tcPr>
            <w:tcW w:w="760" w:type="dxa"/>
            <w:vAlign w:val="bottom"/>
          </w:tcPr>
          <w:p>
            <w:pPr>
              <w:jc w:val="right"/>
              <w:ind w:right="71"/>
              <w:spacing w:after="0"/>
              <w:rPr>
                <w:sz w:val="20"/>
                <w:szCs w:val="20"/>
                <w:color w:val="auto"/>
              </w:rPr>
            </w:pPr>
            <w:r>
              <w:rPr>
                <w:rFonts w:ascii="Arial" w:cs="Arial" w:eastAsia="Arial" w:hAnsi="Arial"/>
                <w:sz w:val="10"/>
                <w:szCs w:val="10"/>
                <w:b w:val="1"/>
                <w:bCs w:val="1"/>
                <w:color w:val="auto"/>
              </w:rPr>
              <w:t>(1)</w:t>
            </w:r>
          </w:p>
        </w:tc>
        <w:tc>
          <w:tcPr>
            <w:tcW w:w="680" w:type="dxa"/>
            <w:vAlign w:val="bottom"/>
          </w:tcPr>
          <w:p>
            <w:pPr>
              <w:jc w:val="right"/>
              <w:ind w:right="111"/>
              <w:spacing w:after="0"/>
              <w:rPr>
                <w:sz w:val="20"/>
                <w:szCs w:val="20"/>
                <w:color w:val="auto"/>
              </w:rPr>
            </w:pPr>
            <w:r>
              <w:rPr>
                <w:rFonts w:ascii="Arial" w:cs="Arial" w:eastAsia="Arial" w:hAnsi="Arial"/>
                <w:sz w:val="10"/>
                <w:szCs w:val="10"/>
                <w:b w:val="1"/>
                <w:bCs w:val="1"/>
                <w:color w:val="auto"/>
              </w:rPr>
              <w:t>Bonus</w:t>
            </w:r>
          </w:p>
        </w:tc>
        <w:tc>
          <w:tcPr>
            <w:tcW w:w="800" w:type="dxa"/>
            <w:vAlign w:val="bottom"/>
          </w:tcPr>
          <w:p>
            <w:pPr>
              <w:jc w:val="right"/>
              <w:ind w:right="91"/>
              <w:spacing w:after="0"/>
              <w:rPr>
                <w:sz w:val="20"/>
                <w:szCs w:val="20"/>
                <w:color w:val="auto"/>
              </w:rPr>
            </w:pPr>
            <w:r>
              <w:rPr>
                <w:rFonts w:ascii="Arial" w:cs="Arial" w:eastAsia="Arial" w:hAnsi="Arial"/>
                <w:sz w:val="10"/>
                <w:szCs w:val="10"/>
                <w:b w:val="1"/>
                <w:bCs w:val="1"/>
                <w:color w:val="auto"/>
              </w:rPr>
              <w:t>(2)</w:t>
            </w:r>
          </w:p>
        </w:tc>
        <w:tc>
          <w:tcPr>
            <w:tcW w:w="900" w:type="dxa"/>
            <w:vAlign w:val="bottom"/>
          </w:tcPr>
          <w:p>
            <w:pPr>
              <w:jc w:val="right"/>
              <w:ind w:right="211"/>
              <w:spacing w:after="0"/>
              <w:rPr>
                <w:sz w:val="20"/>
                <w:szCs w:val="20"/>
                <w:color w:val="auto"/>
              </w:rPr>
            </w:pPr>
            <w:r>
              <w:rPr>
                <w:rFonts w:ascii="Arial" w:cs="Arial" w:eastAsia="Arial" w:hAnsi="Arial"/>
                <w:sz w:val="10"/>
                <w:szCs w:val="10"/>
                <w:b w:val="1"/>
                <w:bCs w:val="1"/>
                <w:color w:val="auto"/>
              </w:rPr>
              <w:t>Awards</w:t>
            </w:r>
          </w:p>
        </w:tc>
        <w:tc>
          <w:tcPr>
            <w:tcW w:w="980" w:type="dxa"/>
            <w:vAlign w:val="bottom"/>
          </w:tcPr>
          <w:p>
            <w:pPr>
              <w:jc w:val="right"/>
              <w:ind w:right="131"/>
              <w:spacing w:after="0"/>
              <w:rPr>
                <w:sz w:val="20"/>
                <w:szCs w:val="20"/>
                <w:color w:val="auto"/>
              </w:rPr>
            </w:pPr>
            <w:r>
              <w:rPr>
                <w:rFonts w:ascii="Arial" w:cs="Arial" w:eastAsia="Arial" w:hAnsi="Arial"/>
                <w:sz w:val="10"/>
                <w:szCs w:val="10"/>
                <w:b w:val="1"/>
                <w:bCs w:val="1"/>
                <w:color w:val="auto"/>
              </w:rPr>
              <w:t>(3)</w:t>
            </w:r>
          </w:p>
        </w:tc>
        <w:tc>
          <w:tcPr>
            <w:tcW w:w="1020" w:type="dxa"/>
            <w:vAlign w:val="bottom"/>
          </w:tcPr>
          <w:p>
            <w:pPr>
              <w:jc w:val="right"/>
              <w:ind w:right="131"/>
              <w:spacing w:after="0"/>
              <w:rPr>
                <w:sz w:val="20"/>
                <w:szCs w:val="20"/>
                <w:color w:val="auto"/>
              </w:rPr>
            </w:pPr>
            <w:r>
              <w:rPr>
                <w:rFonts w:ascii="Arial" w:cs="Arial" w:eastAsia="Arial" w:hAnsi="Arial"/>
                <w:sz w:val="10"/>
                <w:szCs w:val="10"/>
                <w:b w:val="1"/>
                <w:bCs w:val="1"/>
                <w:color w:val="auto"/>
              </w:rPr>
              <w:t>Earnings</w:t>
            </w:r>
          </w:p>
        </w:tc>
        <w:tc>
          <w:tcPr>
            <w:tcW w:w="1160" w:type="dxa"/>
            <w:vAlign w:val="bottom"/>
          </w:tcPr>
          <w:p>
            <w:pPr>
              <w:jc w:val="right"/>
              <w:ind w:right="271"/>
              <w:spacing w:after="0"/>
              <w:rPr>
                <w:sz w:val="20"/>
                <w:szCs w:val="20"/>
                <w:color w:val="auto"/>
              </w:rPr>
            </w:pPr>
            <w:r>
              <w:rPr>
                <w:rFonts w:ascii="Arial" w:cs="Arial" w:eastAsia="Arial" w:hAnsi="Arial"/>
                <w:sz w:val="10"/>
                <w:szCs w:val="10"/>
                <w:b w:val="1"/>
                <w:bCs w:val="1"/>
                <w:color w:val="auto"/>
              </w:rPr>
              <w:t>Compensation</w:t>
            </w:r>
          </w:p>
        </w:tc>
        <w:tc>
          <w:tcPr>
            <w:tcW w:w="6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Total</w:t>
            </w:r>
          </w:p>
        </w:tc>
      </w:tr>
      <w:tr>
        <w:trPr>
          <w:trHeight w:val="99"/>
        </w:trPr>
        <w:tc>
          <w:tcPr>
            <w:tcW w:w="1680" w:type="dxa"/>
            <w:vAlign w:val="bottom"/>
            <w:tcBorders>
              <w:top w:val="single" w:sz="8" w:color="00B2E5"/>
            </w:tcBorders>
          </w:tcPr>
          <w:p>
            <w:pPr>
              <w:spacing w:after="0" w:line="99" w:lineRule="exact"/>
              <w:rPr>
                <w:sz w:val="20"/>
                <w:szCs w:val="20"/>
                <w:color w:val="auto"/>
              </w:rPr>
            </w:pPr>
            <w:r>
              <w:rPr>
                <w:rFonts w:ascii="Arial" w:cs="Arial" w:eastAsia="Arial" w:hAnsi="Arial"/>
                <w:sz w:val="10"/>
                <w:szCs w:val="10"/>
                <w:color w:val="auto"/>
              </w:rPr>
              <w:t>W. Troy Rudd</w:t>
            </w:r>
          </w:p>
        </w:tc>
        <w:tc>
          <w:tcPr>
            <w:tcW w:w="400" w:type="dxa"/>
            <w:vAlign w:val="bottom"/>
            <w:tcBorders>
              <w:top w:val="single" w:sz="8" w:color="00B2E5"/>
            </w:tcBorders>
          </w:tcPr>
          <w:p>
            <w:pPr>
              <w:jc w:val="right"/>
              <w:ind w:right="91"/>
              <w:spacing w:after="0" w:line="99" w:lineRule="exact"/>
              <w:rPr>
                <w:sz w:val="20"/>
                <w:szCs w:val="20"/>
                <w:color w:val="auto"/>
              </w:rPr>
            </w:pPr>
            <w:r>
              <w:rPr>
                <w:rFonts w:ascii="Arial" w:cs="Arial" w:eastAsia="Arial" w:hAnsi="Arial"/>
                <w:sz w:val="10"/>
                <w:szCs w:val="10"/>
                <w:color w:val="auto"/>
              </w:rPr>
              <w:t>2020</w:t>
            </w:r>
          </w:p>
        </w:tc>
        <w:tc>
          <w:tcPr>
            <w:tcW w:w="760" w:type="dxa"/>
            <w:vAlign w:val="bottom"/>
            <w:tcBorders>
              <w:top w:val="single" w:sz="8" w:color="00B2E5"/>
            </w:tcBorders>
          </w:tcPr>
          <w:p>
            <w:pPr>
              <w:jc w:val="right"/>
              <w:ind w:right="71"/>
              <w:spacing w:after="0" w:line="99" w:lineRule="exact"/>
              <w:rPr>
                <w:sz w:val="20"/>
                <w:szCs w:val="20"/>
                <w:color w:val="auto"/>
              </w:rPr>
            </w:pPr>
            <w:r>
              <w:rPr>
                <w:rFonts w:ascii="Arial" w:cs="Arial" w:eastAsia="Arial" w:hAnsi="Arial"/>
                <w:sz w:val="10"/>
                <w:szCs w:val="10"/>
                <w:color w:val="auto"/>
              </w:rPr>
              <w:t>$701,058</w:t>
            </w:r>
          </w:p>
        </w:tc>
        <w:tc>
          <w:tcPr>
            <w:tcW w:w="680" w:type="dxa"/>
            <w:vAlign w:val="bottom"/>
            <w:tcBorders>
              <w:top w:val="single" w:sz="8" w:color="00B2E5"/>
            </w:tcBorders>
          </w:tcPr>
          <w:p>
            <w:pPr>
              <w:jc w:val="right"/>
              <w:ind w:right="111"/>
              <w:spacing w:after="0" w:line="99" w:lineRule="exact"/>
              <w:rPr>
                <w:sz w:val="20"/>
                <w:szCs w:val="20"/>
                <w:color w:val="auto"/>
              </w:rPr>
            </w:pPr>
            <w:r>
              <w:rPr>
                <w:rFonts w:ascii="Arial" w:cs="Arial" w:eastAsia="Arial" w:hAnsi="Arial"/>
                <w:sz w:val="10"/>
                <w:szCs w:val="10"/>
                <w:color w:val="auto"/>
              </w:rPr>
              <w:t>$0</w:t>
            </w:r>
          </w:p>
        </w:tc>
        <w:tc>
          <w:tcPr>
            <w:tcW w:w="800" w:type="dxa"/>
            <w:vAlign w:val="bottom"/>
            <w:tcBorders>
              <w:top w:val="single" w:sz="8" w:color="00B2E5"/>
            </w:tcBorders>
          </w:tcPr>
          <w:p>
            <w:pPr>
              <w:jc w:val="right"/>
              <w:ind w:right="91"/>
              <w:spacing w:after="0" w:line="99" w:lineRule="exact"/>
              <w:rPr>
                <w:sz w:val="20"/>
                <w:szCs w:val="20"/>
                <w:color w:val="auto"/>
              </w:rPr>
            </w:pPr>
            <w:r>
              <w:rPr>
                <w:rFonts w:ascii="Arial" w:cs="Arial" w:eastAsia="Arial" w:hAnsi="Arial"/>
                <w:sz w:val="10"/>
                <w:szCs w:val="10"/>
                <w:color w:val="auto"/>
              </w:rPr>
              <w:t>$4,400,064</w:t>
            </w:r>
          </w:p>
        </w:tc>
        <w:tc>
          <w:tcPr>
            <w:tcW w:w="900" w:type="dxa"/>
            <w:vAlign w:val="bottom"/>
            <w:tcBorders>
              <w:top w:val="single" w:sz="8" w:color="00B2E5"/>
            </w:tcBorders>
          </w:tcPr>
          <w:p>
            <w:pPr>
              <w:jc w:val="right"/>
              <w:ind w:right="91"/>
              <w:spacing w:after="0" w:line="99" w:lineRule="exact"/>
              <w:rPr>
                <w:sz w:val="20"/>
                <w:szCs w:val="20"/>
                <w:color w:val="auto"/>
              </w:rPr>
            </w:pPr>
            <w:r>
              <w:rPr>
                <w:rFonts w:ascii="Arial" w:cs="Arial" w:eastAsia="Arial" w:hAnsi="Arial"/>
                <w:sz w:val="10"/>
                <w:szCs w:val="10"/>
                <w:color w:val="auto"/>
              </w:rPr>
              <w:t>$3,000,003(4)</w:t>
            </w:r>
          </w:p>
        </w:tc>
        <w:tc>
          <w:tcPr>
            <w:tcW w:w="980" w:type="dxa"/>
            <w:vAlign w:val="bottom"/>
            <w:tcBorders>
              <w:top w:val="single" w:sz="8" w:color="00B2E5"/>
            </w:tcBorders>
          </w:tcPr>
          <w:p>
            <w:pPr>
              <w:jc w:val="right"/>
              <w:ind w:right="131"/>
              <w:spacing w:after="0" w:line="99" w:lineRule="exact"/>
              <w:rPr>
                <w:sz w:val="20"/>
                <w:szCs w:val="20"/>
                <w:color w:val="auto"/>
              </w:rPr>
            </w:pPr>
            <w:r>
              <w:rPr>
                <w:rFonts w:ascii="Arial" w:cs="Arial" w:eastAsia="Arial" w:hAnsi="Arial"/>
                <w:sz w:val="10"/>
                <w:szCs w:val="10"/>
                <w:color w:val="auto"/>
              </w:rPr>
              <w:t>$1,177,143</w:t>
            </w:r>
          </w:p>
        </w:tc>
        <w:tc>
          <w:tcPr>
            <w:tcW w:w="1020" w:type="dxa"/>
            <w:vAlign w:val="bottom"/>
            <w:tcBorders>
              <w:top w:val="single" w:sz="8" w:color="00B2E5"/>
            </w:tcBorders>
          </w:tcPr>
          <w:p>
            <w:pPr>
              <w:jc w:val="right"/>
              <w:ind w:right="131"/>
              <w:spacing w:after="0" w:line="99" w:lineRule="exact"/>
              <w:rPr>
                <w:sz w:val="20"/>
                <w:szCs w:val="20"/>
                <w:color w:val="auto"/>
              </w:rPr>
            </w:pPr>
            <w:r>
              <w:rPr>
                <w:rFonts w:ascii="Arial" w:cs="Arial" w:eastAsia="Arial" w:hAnsi="Arial"/>
                <w:sz w:val="10"/>
                <w:szCs w:val="10"/>
                <w:color w:val="auto"/>
              </w:rPr>
              <w:t>$7,536</w:t>
            </w:r>
          </w:p>
        </w:tc>
        <w:tc>
          <w:tcPr>
            <w:tcW w:w="1160" w:type="dxa"/>
            <w:vAlign w:val="bottom"/>
            <w:tcBorders>
              <w:top w:val="single" w:sz="8" w:color="00B2E5"/>
            </w:tcBorders>
          </w:tcPr>
          <w:p>
            <w:pPr>
              <w:jc w:val="right"/>
              <w:ind w:right="151"/>
              <w:spacing w:after="0" w:line="99" w:lineRule="exact"/>
              <w:rPr>
                <w:sz w:val="20"/>
                <w:szCs w:val="20"/>
                <w:color w:val="auto"/>
              </w:rPr>
            </w:pPr>
            <w:r>
              <w:rPr>
                <w:rFonts w:ascii="Arial" w:cs="Arial" w:eastAsia="Arial" w:hAnsi="Arial"/>
                <w:sz w:val="10"/>
                <w:szCs w:val="10"/>
                <w:color w:val="auto"/>
              </w:rPr>
              <w:t>$35,084(5)</w:t>
            </w:r>
          </w:p>
        </w:tc>
        <w:tc>
          <w:tcPr>
            <w:tcW w:w="660" w:type="dxa"/>
            <w:vAlign w:val="bottom"/>
            <w:tcBorders>
              <w:top w:val="single" w:sz="8" w:color="00B2E5"/>
            </w:tcBorders>
          </w:tcPr>
          <w:p>
            <w:pPr>
              <w:jc w:val="right"/>
              <w:spacing w:after="0" w:line="99" w:lineRule="exact"/>
              <w:rPr>
                <w:sz w:val="20"/>
                <w:szCs w:val="20"/>
                <w:color w:val="auto"/>
              </w:rPr>
            </w:pPr>
            <w:r>
              <w:rPr>
                <w:rFonts w:ascii="Arial" w:cs="Arial" w:eastAsia="Arial" w:hAnsi="Arial"/>
                <w:sz w:val="10"/>
                <w:szCs w:val="10"/>
                <w:color w:val="auto"/>
              </w:rPr>
              <w:t>$9,320,888</w:t>
            </w:r>
          </w:p>
        </w:tc>
        <w:tc>
          <w:tcPr>
            <w:tcW w:w="20" w:type="dxa"/>
            <w:vAlign w:val="bottom"/>
          </w:tcPr>
          <w:p>
            <w:pPr>
              <w:spacing w:after="0"/>
              <w:rPr>
                <w:sz w:val="8"/>
                <w:szCs w:val="8"/>
                <w:color w:val="auto"/>
              </w:rPr>
            </w:pPr>
          </w:p>
        </w:tc>
      </w:tr>
      <w:tr>
        <w:trPr>
          <w:trHeight w:val="130"/>
        </w:trPr>
        <w:tc>
          <w:tcPr>
            <w:tcW w:w="1680" w:type="dxa"/>
            <w:vAlign w:val="bottom"/>
          </w:tcPr>
          <w:p>
            <w:pPr>
              <w:ind w:left="80"/>
              <w:spacing w:after="0"/>
              <w:rPr>
                <w:sz w:val="20"/>
                <w:szCs w:val="20"/>
                <w:color w:val="auto"/>
              </w:rPr>
            </w:pPr>
            <w:r>
              <w:rPr>
                <w:rFonts w:ascii="Arial" w:cs="Arial" w:eastAsia="Arial" w:hAnsi="Arial"/>
                <w:sz w:val="10"/>
                <w:szCs w:val="10"/>
                <w:color w:val="auto"/>
              </w:rPr>
              <w:t>CEO</w:t>
            </w:r>
          </w:p>
        </w:tc>
        <w:tc>
          <w:tcPr>
            <w:tcW w:w="400" w:type="dxa"/>
            <w:vAlign w:val="bottom"/>
          </w:tcPr>
          <w:p>
            <w:pPr>
              <w:jc w:val="right"/>
              <w:ind w:right="91"/>
              <w:spacing w:after="0"/>
              <w:rPr>
                <w:sz w:val="20"/>
                <w:szCs w:val="20"/>
                <w:color w:val="auto"/>
              </w:rPr>
            </w:pPr>
            <w:r>
              <w:rPr>
                <w:rFonts w:ascii="Arial" w:cs="Arial" w:eastAsia="Arial" w:hAnsi="Arial"/>
                <w:sz w:val="10"/>
                <w:szCs w:val="10"/>
                <w:color w:val="auto"/>
              </w:rPr>
              <w:t>2019</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$682,395</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00" w:type="dxa"/>
            <w:vAlign w:val="bottom"/>
          </w:tcPr>
          <w:p>
            <w:pPr>
              <w:jc w:val="right"/>
              <w:ind w:right="91"/>
              <w:spacing w:after="0"/>
              <w:rPr>
                <w:sz w:val="20"/>
                <w:szCs w:val="20"/>
                <w:color w:val="auto"/>
              </w:rPr>
            </w:pPr>
            <w:r>
              <w:rPr>
                <w:rFonts w:ascii="Arial" w:cs="Arial" w:eastAsia="Arial" w:hAnsi="Arial"/>
                <w:sz w:val="10"/>
                <w:szCs w:val="10"/>
                <w:color w:val="auto"/>
              </w:rPr>
              <w:t>$2,200,000</w:t>
            </w:r>
          </w:p>
        </w:tc>
        <w:tc>
          <w:tcPr>
            <w:tcW w:w="900" w:type="dxa"/>
            <w:vAlign w:val="bottom"/>
          </w:tcPr>
          <w:p>
            <w:pPr>
              <w:jc w:val="right"/>
              <w:ind w:right="211"/>
              <w:spacing w:after="0"/>
              <w:rPr>
                <w:sz w:val="20"/>
                <w:szCs w:val="20"/>
                <w:color w:val="auto"/>
              </w:rPr>
            </w:pPr>
            <w:r>
              <w:rPr>
                <w:rFonts w:ascii="Arial" w:cs="Arial" w:eastAsia="Arial" w:hAnsi="Arial"/>
                <w:sz w:val="10"/>
                <w:szCs w:val="10"/>
                <w:color w:val="auto"/>
              </w:rPr>
              <w:t>$0</w:t>
            </w:r>
          </w:p>
        </w:tc>
        <w:tc>
          <w:tcPr>
            <w:tcW w:w="980" w:type="dxa"/>
            <w:vAlign w:val="bottom"/>
          </w:tcPr>
          <w:p>
            <w:pPr>
              <w:jc w:val="right"/>
              <w:ind w:right="131"/>
              <w:spacing w:after="0"/>
              <w:rPr>
                <w:sz w:val="20"/>
                <w:szCs w:val="20"/>
                <w:color w:val="auto"/>
              </w:rPr>
            </w:pPr>
            <w:r>
              <w:rPr>
                <w:rFonts w:ascii="Arial" w:cs="Arial" w:eastAsia="Arial" w:hAnsi="Arial"/>
                <w:sz w:val="10"/>
                <w:szCs w:val="10"/>
                <w:color w:val="auto"/>
              </w:rPr>
              <w:t>$1,150,000</w:t>
            </w:r>
          </w:p>
        </w:tc>
        <w:tc>
          <w:tcPr>
            <w:tcW w:w="1020" w:type="dxa"/>
            <w:vAlign w:val="bottom"/>
          </w:tcPr>
          <w:p>
            <w:pPr>
              <w:jc w:val="right"/>
              <w:ind w:right="131"/>
              <w:spacing w:after="0"/>
              <w:rPr>
                <w:sz w:val="20"/>
                <w:szCs w:val="20"/>
                <w:color w:val="auto"/>
              </w:rPr>
            </w:pPr>
            <w:r>
              <w:rPr>
                <w:rFonts w:ascii="Arial" w:cs="Arial" w:eastAsia="Arial" w:hAnsi="Arial"/>
                <w:sz w:val="10"/>
                <w:szCs w:val="10"/>
                <w:color w:val="auto"/>
              </w:rPr>
              <w:t>$4,667</w:t>
            </w:r>
          </w:p>
        </w:tc>
        <w:tc>
          <w:tcPr>
            <w:tcW w:w="1160" w:type="dxa"/>
            <w:vAlign w:val="bottom"/>
          </w:tcPr>
          <w:p>
            <w:pPr>
              <w:jc w:val="right"/>
              <w:ind w:right="271"/>
              <w:spacing w:after="0"/>
              <w:rPr>
                <w:sz w:val="20"/>
                <w:szCs w:val="20"/>
                <w:color w:val="auto"/>
              </w:rPr>
            </w:pPr>
            <w:r>
              <w:rPr>
                <w:rFonts w:ascii="Arial" w:cs="Arial" w:eastAsia="Arial" w:hAnsi="Arial"/>
                <w:sz w:val="10"/>
                <w:szCs w:val="10"/>
                <w:color w:val="auto"/>
              </w:rPr>
              <w:t>$45,228</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$4,082,290</w:t>
            </w:r>
          </w:p>
        </w:tc>
      </w:tr>
      <w:tr>
        <w:trPr>
          <w:trHeight w:val="146"/>
        </w:trPr>
        <w:tc>
          <w:tcPr>
            <w:tcW w:w="1680" w:type="dxa"/>
            <w:vAlign w:val="bottom"/>
          </w:tcPr>
          <w:p>
            <w:pPr>
              <w:spacing w:after="0"/>
              <w:rPr>
                <w:sz w:val="12"/>
                <w:szCs w:val="12"/>
                <w:color w:val="auto"/>
              </w:rPr>
            </w:pPr>
          </w:p>
        </w:tc>
        <w:tc>
          <w:tcPr>
            <w:tcW w:w="400" w:type="dxa"/>
            <w:vAlign w:val="bottom"/>
          </w:tcPr>
          <w:p>
            <w:pPr>
              <w:jc w:val="right"/>
              <w:ind w:right="91"/>
              <w:spacing w:after="0"/>
              <w:rPr>
                <w:sz w:val="20"/>
                <w:szCs w:val="20"/>
                <w:color w:val="auto"/>
              </w:rPr>
            </w:pPr>
            <w:r>
              <w:rPr>
                <w:rFonts w:ascii="Arial" w:cs="Arial" w:eastAsia="Arial" w:hAnsi="Arial"/>
                <w:sz w:val="10"/>
                <w:szCs w:val="10"/>
                <w:color w:val="auto"/>
              </w:rPr>
              <w:t>2018</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$625,295</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00" w:type="dxa"/>
            <w:vAlign w:val="bottom"/>
          </w:tcPr>
          <w:p>
            <w:pPr>
              <w:jc w:val="right"/>
              <w:ind w:right="91"/>
              <w:spacing w:after="0"/>
              <w:rPr>
                <w:sz w:val="20"/>
                <w:szCs w:val="20"/>
                <w:color w:val="auto"/>
              </w:rPr>
            </w:pPr>
            <w:r>
              <w:rPr>
                <w:rFonts w:ascii="Arial" w:cs="Arial" w:eastAsia="Arial" w:hAnsi="Arial"/>
                <w:sz w:val="10"/>
                <w:szCs w:val="10"/>
                <w:color w:val="auto"/>
              </w:rPr>
              <w:t>$2,055,908</w:t>
            </w:r>
          </w:p>
        </w:tc>
        <w:tc>
          <w:tcPr>
            <w:tcW w:w="900" w:type="dxa"/>
            <w:vAlign w:val="bottom"/>
          </w:tcPr>
          <w:p>
            <w:pPr>
              <w:jc w:val="right"/>
              <w:ind w:right="211"/>
              <w:spacing w:after="0"/>
              <w:rPr>
                <w:sz w:val="20"/>
                <w:szCs w:val="20"/>
                <w:color w:val="auto"/>
              </w:rPr>
            </w:pPr>
            <w:r>
              <w:rPr>
                <w:rFonts w:ascii="Arial" w:cs="Arial" w:eastAsia="Arial" w:hAnsi="Arial"/>
                <w:sz w:val="10"/>
                <w:szCs w:val="10"/>
                <w:color w:val="auto"/>
              </w:rPr>
              <w:t>$0</w:t>
            </w:r>
          </w:p>
        </w:tc>
        <w:tc>
          <w:tcPr>
            <w:tcW w:w="980" w:type="dxa"/>
            <w:vAlign w:val="bottom"/>
          </w:tcPr>
          <w:p>
            <w:pPr>
              <w:jc w:val="right"/>
              <w:ind w:right="131"/>
              <w:spacing w:after="0"/>
              <w:rPr>
                <w:sz w:val="20"/>
                <w:szCs w:val="20"/>
                <w:color w:val="auto"/>
              </w:rPr>
            </w:pPr>
            <w:r>
              <w:rPr>
                <w:rFonts w:ascii="Arial" w:cs="Arial" w:eastAsia="Arial" w:hAnsi="Arial"/>
                <w:sz w:val="10"/>
                <w:szCs w:val="10"/>
                <w:color w:val="auto"/>
              </w:rPr>
              <w:t>$700,000</w:t>
            </w:r>
          </w:p>
        </w:tc>
        <w:tc>
          <w:tcPr>
            <w:tcW w:w="1020" w:type="dxa"/>
            <w:vAlign w:val="bottom"/>
          </w:tcPr>
          <w:p>
            <w:pPr>
              <w:jc w:val="right"/>
              <w:ind w:right="131"/>
              <w:spacing w:after="0"/>
              <w:rPr>
                <w:sz w:val="20"/>
                <w:szCs w:val="20"/>
                <w:color w:val="auto"/>
              </w:rPr>
            </w:pPr>
            <w:r>
              <w:rPr>
                <w:rFonts w:ascii="Arial" w:cs="Arial" w:eastAsia="Arial" w:hAnsi="Arial"/>
                <w:sz w:val="10"/>
                <w:szCs w:val="10"/>
                <w:color w:val="auto"/>
              </w:rPr>
              <w:t>$3,124</w:t>
            </w:r>
          </w:p>
        </w:tc>
        <w:tc>
          <w:tcPr>
            <w:tcW w:w="1160" w:type="dxa"/>
            <w:vAlign w:val="bottom"/>
          </w:tcPr>
          <w:p>
            <w:pPr>
              <w:jc w:val="right"/>
              <w:ind w:right="271"/>
              <w:spacing w:after="0"/>
              <w:rPr>
                <w:sz w:val="20"/>
                <w:szCs w:val="20"/>
                <w:color w:val="auto"/>
              </w:rPr>
            </w:pPr>
            <w:r>
              <w:rPr>
                <w:rFonts w:ascii="Arial" w:cs="Arial" w:eastAsia="Arial" w:hAnsi="Arial"/>
                <w:sz w:val="10"/>
                <w:szCs w:val="10"/>
                <w:color w:val="auto"/>
              </w:rPr>
              <w:t>$54,016</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$3,438,343</w:t>
            </w:r>
          </w:p>
        </w:tc>
      </w:tr>
      <w:tr>
        <w:trPr>
          <w:trHeight w:val="198"/>
        </w:trPr>
        <w:tc>
          <w:tcPr>
            <w:tcW w:w="1680" w:type="dxa"/>
            <w:vAlign w:val="bottom"/>
          </w:tcPr>
          <w:p>
            <w:pPr>
              <w:spacing w:after="0"/>
              <w:rPr>
                <w:sz w:val="20"/>
                <w:szCs w:val="20"/>
                <w:color w:val="auto"/>
              </w:rPr>
            </w:pPr>
            <w:r>
              <w:rPr>
                <w:rFonts w:ascii="Arial" w:cs="Arial" w:eastAsia="Arial" w:hAnsi="Arial"/>
                <w:sz w:val="10"/>
                <w:szCs w:val="10"/>
                <w:color w:val="auto"/>
              </w:rPr>
              <w:t>Gaurav Kapoor</w:t>
            </w:r>
          </w:p>
        </w:tc>
        <w:tc>
          <w:tcPr>
            <w:tcW w:w="400" w:type="dxa"/>
            <w:vAlign w:val="bottom"/>
          </w:tcPr>
          <w:p>
            <w:pPr>
              <w:jc w:val="right"/>
              <w:ind w:right="91"/>
              <w:spacing w:after="0"/>
              <w:rPr>
                <w:sz w:val="20"/>
                <w:szCs w:val="20"/>
                <w:color w:val="auto"/>
              </w:rPr>
            </w:pPr>
            <w:r>
              <w:rPr>
                <w:rFonts w:ascii="Arial" w:cs="Arial" w:eastAsia="Arial" w:hAnsi="Arial"/>
                <w:sz w:val="10"/>
                <w:szCs w:val="10"/>
                <w:color w:val="auto"/>
              </w:rPr>
              <w:t>2020</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$478,558</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00" w:type="dxa"/>
            <w:vAlign w:val="bottom"/>
          </w:tcPr>
          <w:p>
            <w:pPr>
              <w:jc w:val="right"/>
              <w:ind w:right="91"/>
              <w:spacing w:after="0"/>
              <w:rPr>
                <w:sz w:val="20"/>
                <w:szCs w:val="20"/>
                <w:color w:val="auto"/>
              </w:rPr>
            </w:pPr>
            <w:r>
              <w:rPr>
                <w:rFonts w:ascii="Arial" w:cs="Arial" w:eastAsia="Arial" w:hAnsi="Arial"/>
                <w:sz w:val="10"/>
                <w:szCs w:val="10"/>
                <w:color w:val="auto"/>
              </w:rPr>
              <w:t>$600,084</w:t>
            </w:r>
          </w:p>
        </w:tc>
        <w:tc>
          <w:tcPr>
            <w:tcW w:w="900" w:type="dxa"/>
            <w:vAlign w:val="bottom"/>
          </w:tcPr>
          <w:p>
            <w:pPr>
              <w:jc w:val="right"/>
              <w:ind w:right="211"/>
              <w:spacing w:after="0"/>
              <w:rPr>
                <w:sz w:val="20"/>
                <w:szCs w:val="20"/>
                <w:color w:val="auto"/>
              </w:rPr>
            </w:pPr>
            <w:r>
              <w:rPr>
                <w:rFonts w:ascii="Arial" w:cs="Arial" w:eastAsia="Arial" w:hAnsi="Arial"/>
                <w:sz w:val="10"/>
                <w:szCs w:val="10"/>
                <w:color w:val="auto"/>
              </w:rPr>
              <w:t>$0</w:t>
            </w:r>
          </w:p>
        </w:tc>
        <w:tc>
          <w:tcPr>
            <w:tcW w:w="980" w:type="dxa"/>
            <w:vAlign w:val="bottom"/>
          </w:tcPr>
          <w:p>
            <w:pPr>
              <w:jc w:val="right"/>
              <w:ind w:right="131"/>
              <w:spacing w:after="0"/>
              <w:rPr>
                <w:sz w:val="20"/>
                <w:szCs w:val="20"/>
                <w:color w:val="auto"/>
              </w:rPr>
            </w:pPr>
            <w:r>
              <w:rPr>
                <w:rFonts w:ascii="Arial" w:cs="Arial" w:eastAsia="Arial" w:hAnsi="Arial"/>
                <w:sz w:val="10"/>
                <w:szCs w:val="10"/>
                <w:color w:val="auto"/>
              </w:rPr>
              <w:t>$635,954</w:t>
            </w:r>
          </w:p>
        </w:tc>
        <w:tc>
          <w:tcPr>
            <w:tcW w:w="102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1160" w:type="dxa"/>
            <w:vAlign w:val="bottom"/>
          </w:tcPr>
          <w:p>
            <w:pPr>
              <w:jc w:val="right"/>
              <w:ind w:right="151"/>
              <w:spacing w:after="0"/>
              <w:rPr>
                <w:sz w:val="20"/>
                <w:szCs w:val="20"/>
                <w:color w:val="auto"/>
              </w:rPr>
            </w:pPr>
            <w:r>
              <w:rPr>
                <w:rFonts w:ascii="Arial" w:cs="Arial" w:eastAsia="Arial" w:hAnsi="Arial"/>
                <w:sz w:val="10"/>
                <w:szCs w:val="10"/>
                <w:color w:val="auto"/>
              </w:rPr>
              <w:t>$17,448(6)</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$1,732,044</w:t>
            </w:r>
          </w:p>
        </w:tc>
      </w:tr>
      <w:tr>
        <w:trPr>
          <w:trHeight w:val="130"/>
        </w:trPr>
        <w:tc>
          <w:tcPr>
            <w:tcW w:w="1680" w:type="dxa"/>
            <w:vAlign w:val="bottom"/>
          </w:tcPr>
          <w:p>
            <w:pPr>
              <w:ind w:left="80"/>
              <w:spacing w:after="0"/>
              <w:rPr>
                <w:sz w:val="20"/>
                <w:szCs w:val="20"/>
                <w:color w:val="auto"/>
              </w:rPr>
            </w:pPr>
            <w:r>
              <w:rPr>
                <w:rFonts w:ascii="Arial" w:cs="Arial" w:eastAsia="Arial" w:hAnsi="Arial"/>
                <w:sz w:val="10"/>
                <w:szCs w:val="10"/>
                <w:color w:val="auto"/>
              </w:rPr>
              <w:t>CFO</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8"/>
        </w:trPr>
        <w:tc>
          <w:tcPr>
            <w:tcW w:w="1680" w:type="dxa"/>
            <w:vAlign w:val="bottom"/>
          </w:tcPr>
          <w:p>
            <w:pPr>
              <w:spacing w:after="0"/>
              <w:rPr>
                <w:sz w:val="20"/>
                <w:szCs w:val="20"/>
                <w:color w:val="auto"/>
              </w:rPr>
            </w:pPr>
            <w:r>
              <w:rPr>
                <w:rFonts w:ascii="Arial" w:cs="Arial" w:eastAsia="Arial" w:hAnsi="Arial"/>
                <w:sz w:val="10"/>
                <w:szCs w:val="10"/>
                <w:color w:val="auto"/>
              </w:rPr>
              <w:t>Lara Poloni</w:t>
            </w:r>
          </w:p>
        </w:tc>
        <w:tc>
          <w:tcPr>
            <w:tcW w:w="400" w:type="dxa"/>
            <w:vAlign w:val="bottom"/>
          </w:tcPr>
          <w:p>
            <w:pPr>
              <w:jc w:val="right"/>
              <w:ind w:right="91"/>
              <w:spacing w:after="0"/>
              <w:rPr>
                <w:sz w:val="20"/>
                <w:szCs w:val="20"/>
                <w:color w:val="auto"/>
              </w:rPr>
            </w:pPr>
            <w:r>
              <w:rPr>
                <w:rFonts w:ascii="Arial" w:cs="Arial" w:eastAsia="Arial" w:hAnsi="Arial"/>
                <w:sz w:val="10"/>
                <w:szCs w:val="10"/>
                <w:color w:val="auto"/>
              </w:rPr>
              <w:t>2020</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$588,043</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00" w:type="dxa"/>
            <w:vAlign w:val="bottom"/>
          </w:tcPr>
          <w:p>
            <w:pPr>
              <w:jc w:val="right"/>
              <w:ind w:right="91"/>
              <w:spacing w:after="0"/>
              <w:rPr>
                <w:sz w:val="20"/>
                <w:szCs w:val="20"/>
                <w:color w:val="auto"/>
              </w:rPr>
            </w:pPr>
            <w:r>
              <w:rPr>
                <w:rFonts w:ascii="Arial" w:cs="Arial" w:eastAsia="Arial" w:hAnsi="Arial"/>
                <w:sz w:val="10"/>
                <w:szCs w:val="10"/>
                <w:color w:val="auto"/>
              </w:rPr>
              <w:t>$1,690,087</w:t>
            </w:r>
          </w:p>
        </w:tc>
        <w:tc>
          <w:tcPr>
            <w:tcW w:w="900" w:type="dxa"/>
            <w:vAlign w:val="bottom"/>
          </w:tcPr>
          <w:p>
            <w:pPr>
              <w:jc w:val="right"/>
              <w:ind w:right="211"/>
              <w:spacing w:after="0"/>
              <w:rPr>
                <w:sz w:val="20"/>
                <w:szCs w:val="20"/>
                <w:color w:val="auto"/>
              </w:rPr>
            </w:pPr>
            <w:r>
              <w:rPr>
                <w:rFonts w:ascii="Arial" w:cs="Arial" w:eastAsia="Arial" w:hAnsi="Arial"/>
                <w:sz w:val="10"/>
                <w:szCs w:val="10"/>
                <w:color w:val="auto"/>
              </w:rPr>
              <w:t>$0</w:t>
            </w:r>
          </w:p>
        </w:tc>
        <w:tc>
          <w:tcPr>
            <w:tcW w:w="980" w:type="dxa"/>
            <w:vAlign w:val="bottom"/>
          </w:tcPr>
          <w:p>
            <w:pPr>
              <w:jc w:val="right"/>
              <w:ind w:right="131"/>
              <w:spacing w:after="0"/>
              <w:rPr>
                <w:sz w:val="20"/>
                <w:szCs w:val="20"/>
                <w:color w:val="auto"/>
              </w:rPr>
            </w:pPr>
            <w:r>
              <w:rPr>
                <w:rFonts w:ascii="Arial" w:cs="Arial" w:eastAsia="Arial" w:hAnsi="Arial"/>
                <w:sz w:val="10"/>
                <w:szCs w:val="10"/>
                <w:color w:val="auto"/>
              </w:rPr>
              <w:t>$983,508</w:t>
            </w:r>
          </w:p>
        </w:tc>
        <w:tc>
          <w:tcPr>
            <w:tcW w:w="102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1160" w:type="dxa"/>
            <w:vAlign w:val="bottom"/>
          </w:tcPr>
          <w:p>
            <w:pPr>
              <w:jc w:val="right"/>
              <w:ind w:right="151"/>
              <w:spacing w:after="0"/>
              <w:rPr>
                <w:sz w:val="20"/>
                <w:szCs w:val="20"/>
                <w:color w:val="auto"/>
              </w:rPr>
            </w:pPr>
            <w:r>
              <w:rPr>
                <w:rFonts w:ascii="Arial" w:cs="Arial" w:eastAsia="Arial" w:hAnsi="Arial"/>
                <w:sz w:val="10"/>
                <w:szCs w:val="10"/>
                <w:color w:val="auto"/>
              </w:rPr>
              <w:t>$220,337(7)</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$3,481,976</w:t>
            </w:r>
          </w:p>
        </w:tc>
      </w:tr>
      <w:tr>
        <w:trPr>
          <w:trHeight w:val="130"/>
        </w:trPr>
        <w:tc>
          <w:tcPr>
            <w:tcW w:w="1680" w:type="dxa"/>
            <w:vAlign w:val="bottom"/>
          </w:tcPr>
          <w:p>
            <w:pPr>
              <w:ind w:left="80"/>
              <w:spacing w:after="0"/>
              <w:rPr>
                <w:sz w:val="20"/>
                <w:szCs w:val="20"/>
                <w:color w:val="auto"/>
              </w:rPr>
            </w:pPr>
            <w:r>
              <w:rPr>
                <w:rFonts w:ascii="Arial" w:cs="Arial" w:eastAsia="Arial" w:hAnsi="Arial"/>
                <w:sz w:val="10"/>
                <w:szCs w:val="10"/>
                <w:color w:val="auto"/>
              </w:rPr>
              <w:t>President</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8"/>
        </w:trPr>
        <w:tc>
          <w:tcPr>
            <w:tcW w:w="1680" w:type="dxa"/>
            <w:vAlign w:val="bottom"/>
          </w:tcPr>
          <w:p>
            <w:pPr>
              <w:spacing w:after="0"/>
              <w:rPr>
                <w:sz w:val="20"/>
                <w:szCs w:val="20"/>
                <w:color w:val="auto"/>
              </w:rPr>
            </w:pPr>
            <w:r>
              <w:rPr>
                <w:rFonts w:ascii="Arial" w:cs="Arial" w:eastAsia="Arial" w:hAnsi="Arial"/>
                <w:sz w:val="10"/>
                <w:szCs w:val="10"/>
                <w:color w:val="auto"/>
              </w:rPr>
              <w:t>Randall A. Wotring</w:t>
            </w:r>
          </w:p>
        </w:tc>
        <w:tc>
          <w:tcPr>
            <w:tcW w:w="400" w:type="dxa"/>
            <w:vAlign w:val="bottom"/>
          </w:tcPr>
          <w:p>
            <w:pPr>
              <w:jc w:val="right"/>
              <w:ind w:right="91"/>
              <w:spacing w:after="0"/>
              <w:rPr>
                <w:sz w:val="20"/>
                <w:szCs w:val="20"/>
                <w:color w:val="auto"/>
              </w:rPr>
            </w:pPr>
            <w:r>
              <w:rPr>
                <w:rFonts w:ascii="Arial" w:cs="Arial" w:eastAsia="Arial" w:hAnsi="Arial"/>
                <w:sz w:val="10"/>
                <w:szCs w:val="10"/>
                <w:color w:val="auto"/>
              </w:rPr>
              <w:t>2020</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$811,059</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00" w:type="dxa"/>
            <w:vAlign w:val="bottom"/>
          </w:tcPr>
          <w:p>
            <w:pPr>
              <w:jc w:val="right"/>
              <w:ind w:right="91"/>
              <w:spacing w:after="0"/>
              <w:rPr>
                <w:sz w:val="20"/>
                <w:szCs w:val="20"/>
                <w:color w:val="auto"/>
              </w:rPr>
            </w:pPr>
            <w:r>
              <w:rPr>
                <w:rFonts w:ascii="Arial" w:cs="Arial" w:eastAsia="Arial" w:hAnsi="Arial"/>
                <w:sz w:val="10"/>
                <w:szCs w:val="10"/>
                <w:color w:val="auto"/>
              </w:rPr>
              <w:t>$2,750,027</w:t>
            </w:r>
          </w:p>
        </w:tc>
        <w:tc>
          <w:tcPr>
            <w:tcW w:w="900" w:type="dxa"/>
            <w:vAlign w:val="bottom"/>
          </w:tcPr>
          <w:p>
            <w:pPr>
              <w:jc w:val="right"/>
              <w:ind w:right="211"/>
              <w:spacing w:after="0"/>
              <w:rPr>
                <w:sz w:val="20"/>
                <w:szCs w:val="20"/>
                <w:color w:val="auto"/>
              </w:rPr>
            </w:pPr>
            <w:r>
              <w:rPr>
                <w:rFonts w:ascii="Arial" w:cs="Arial" w:eastAsia="Arial" w:hAnsi="Arial"/>
                <w:sz w:val="10"/>
                <w:szCs w:val="10"/>
                <w:color w:val="auto"/>
              </w:rPr>
              <w:t>$0</w:t>
            </w:r>
          </w:p>
        </w:tc>
        <w:tc>
          <w:tcPr>
            <w:tcW w:w="980" w:type="dxa"/>
            <w:vAlign w:val="bottom"/>
          </w:tcPr>
          <w:p>
            <w:pPr>
              <w:jc w:val="right"/>
              <w:ind w:right="131"/>
              <w:spacing w:after="0"/>
              <w:rPr>
                <w:sz w:val="20"/>
                <w:szCs w:val="20"/>
                <w:color w:val="auto"/>
              </w:rPr>
            </w:pPr>
            <w:r>
              <w:rPr>
                <w:rFonts w:ascii="Arial" w:cs="Arial" w:eastAsia="Arial" w:hAnsi="Arial"/>
                <w:sz w:val="10"/>
                <w:szCs w:val="10"/>
                <w:color w:val="auto"/>
              </w:rPr>
              <w:t>$1,104,412</w:t>
            </w:r>
          </w:p>
        </w:tc>
        <w:tc>
          <w:tcPr>
            <w:tcW w:w="102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1160" w:type="dxa"/>
            <w:vAlign w:val="bottom"/>
          </w:tcPr>
          <w:p>
            <w:pPr>
              <w:jc w:val="right"/>
              <w:ind w:right="151"/>
              <w:spacing w:after="0"/>
              <w:rPr>
                <w:sz w:val="20"/>
                <w:szCs w:val="20"/>
                <w:color w:val="auto"/>
              </w:rPr>
            </w:pPr>
            <w:r>
              <w:rPr>
                <w:rFonts w:ascii="Arial" w:cs="Arial" w:eastAsia="Arial" w:hAnsi="Arial"/>
                <w:sz w:val="10"/>
                <w:szCs w:val="10"/>
                <w:color w:val="auto"/>
              </w:rPr>
              <w:t>$1,123,217(8)</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$5,788,715</w:t>
            </w:r>
          </w:p>
        </w:tc>
      </w:tr>
      <w:tr>
        <w:trPr>
          <w:trHeight w:val="130"/>
        </w:trPr>
        <w:tc>
          <w:tcPr>
            <w:tcW w:w="1680" w:type="dxa"/>
            <w:vAlign w:val="bottom"/>
          </w:tcPr>
          <w:p>
            <w:pPr>
              <w:ind w:left="80"/>
              <w:spacing w:after="0"/>
              <w:rPr>
                <w:sz w:val="20"/>
                <w:szCs w:val="20"/>
                <w:color w:val="auto"/>
              </w:rPr>
            </w:pPr>
            <w:r>
              <w:rPr>
                <w:rFonts w:ascii="Arial" w:cs="Arial" w:eastAsia="Arial" w:hAnsi="Arial"/>
                <w:sz w:val="10"/>
                <w:szCs w:val="10"/>
                <w:color w:val="auto"/>
              </w:rPr>
              <w:t>Chief Operating Officer</w:t>
            </w:r>
          </w:p>
        </w:tc>
        <w:tc>
          <w:tcPr>
            <w:tcW w:w="400" w:type="dxa"/>
            <w:vAlign w:val="bottom"/>
          </w:tcPr>
          <w:p>
            <w:pPr>
              <w:jc w:val="right"/>
              <w:ind w:right="91"/>
              <w:spacing w:after="0"/>
              <w:rPr>
                <w:sz w:val="20"/>
                <w:szCs w:val="20"/>
                <w:color w:val="auto"/>
              </w:rPr>
            </w:pPr>
            <w:r>
              <w:rPr>
                <w:rFonts w:ascii="Arial" w:cs="Arial" w:eastAsia="Arial" w:hAnsi="Arial"/>
                <w:sz w:val="10"/>
                <w:szCs w:val="10"/>
                <w:color w:val="auto"/>
              </w:rPr>
              <w:t>2019</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$836,543</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00" w:type="dxa"/>
            <w:vAlign w:val="bottom"/>
          </w:tcPr>
          <w:p>
            <w:pPr>
              <w:jc w:val="right"/>
              <w:ind w:right="91"/>
              <w:spacing w:after="0"/>
              <w:rPr>
                <w:sz w:val="20"/>
                <w:szCs w:val="20"/>
                <w:color w:val="auto"/>
              </w:rPr>
            </w:pPr>
            <w:r>
              <w:rPr>
                <w:rFonts w:ascii="Arial" w:cs="Arial" w:eastAsia="Arial" w:hAnsi="Arial"/>
                <w:sz w:val="10"/>
                <w:szCs w:val="10"/>
                <w:color w:val="auto"/>
              </w:rPr>
              <w:t>$2,750,000</w:t>
            </w:r>
          </w:p>
        </w:tc>
        <w:tc>
          <w:tcPr>
            <w:tcW w:w="900" w:type="dxa"/>
            <w:vAlign w:val="bottom"/>
          </w:tcPr>
          <w:p>
            <w:pPr>
              <w:jc w:val="right"/>
              <w:ind w:right="211"/>
              <w:spacing w:after="0"/>
              <w:rPr>
                <w:sz w:val="20"/>
                <w:szCs w:val="20"/>
                <w:color w:val="auto"/>
              </w:rPr>
            </w:pPr>
            <w:r>
              <w:rPr>
                <w:rFonts w:ascii="Arial" w:cs="Arial" w:eastAsia="Arial" w:hAnsi="Arial"/>
                <w:sz w:val="10"/>
                <w:szCs w:val="10"/>
                <w:color w:val="auto"/>
              </w:rPr>
              <w:t>$0</w:t>
            </w:r>
          </w:p>
        </w:tc>
        <w:tc>
          <w:tcPr>
            <w:tcW w:w="980" w:type="dxa"/>
            <w:vAlign w:val="bottom"/>
          </w:tcPr>
          <w:p>
            <w:pPr>
              <w:jc w:val="right"/>
              <w:ind w:right="131"/>
              <w:spacing w:after="0"/>
              <w:rPr>
                <w:sz w:val="20"/>
                <w:szCs w:val="20"/>
                <w:color w:val="auto"/>
              </w:rPr>
            </w:pPr>
            <w:r>
              <w:rPr>
                <w:rFonts w:ascii="Arial" w:cs="Arial" w:eastAsia="Arial" w:hAnsi="Arial"/>
                <w:sz w:val="10"/>
                <w:szCs w:val="10"/>
                <w:color w:val="auto"/>
              </w:rPr>
              <w:t>$1,150,000</w:t>
            </w:r>
          </w:p>
        </w:tc>
        <w:tc>
          <w:tcPr>
            <w:tcW w:w="1020" w:type="dxa"/>
            <w:vAlign w:val="bottom"/>
          </w:tcPr>
          <w:p>
            <w:pPr>
              <w:jc w:val="right"/>
              <w:ind w:right="131"/>
              <w:spacing w:after="0"/>
              <w:rPr>
                <w:sz w:val="20"/>
                <w:szCs w:val="20"/>
                <w:color w:val="auto"/>
              </w:rPr>
            </w:pPr>
            <w:r>
              <w:rPr>
                <w:rFonts w:ascii="Arial" w:cs="Arial" w:eastAsia="Arial" w:hAnsi="Arial"/>
                <w:sz w:val="10"/>
                <w:szCs w:val="10"/>
                <w:color w:val="auto"/>
              </w:rPr>
              <w:t>$188,698</w:t>
            </w:r>
          </w:p>
        </w:tc>
        <w:tc>
          <w:tcPr>
            <w:tcW w:w="1160" w:type="dxa"/>
            <w:vAlign w:val="bottom"/>
          </w:tcPr>
          <w:p>
            <w:pPr>
              <w:jc w:val="right"/>
              <w:ind w:right="271"/>
              <w:spacing w:after="0"/>
              <w:rPr>
                <w:sz w:val="20"/>
                <w:szCs w:val="20"/>
                <w:color w:val="auto"/>
              </w:rPr>
            </w:pPr>
            <w:r>
              <w:rPr>
                <w:rFonts w:ascii="Arial" w:cs="Arial" w:eastAsia="Arial" w:hAnsi="Arial"/>
                <w:sz w:val="10"/>
                <w:szCs w:val="10"/>
                <w:color w:val="auto"/>
              </w:rPr>
              <w:t>$22,384</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$4,947,625</w:t>
            </w:r>
          </w:p>
        </w:tc>
      </w:tr>
      <w:tr>
        <w:trPr>
          <w:trHeight w:val="146"/>
        </w:trPr>
        <w:tc>
          <w:tcPr>
            <w:tcW w:w="1680" w:type="dxa"/>
            <w:vAlign w:val="bottom"/>
          </w:tcPr>
          <w:p>
            <w:pPr>
              <w:spacing w:after="0"/>
              <w:rPr>
                <w:sz w:val="12"/>
                <w:szCs w:val="12"/>
                <w:color w:val="auto"/>
              </w:rPr>
            </w:pPr>
          </w:p>
        </w:tc>
        <w:tc>
          <w:tcPr>
            <w:tcW w:w="400" w:type="dxa"/>
            <w:vAlign w:val="bottom"/>
          </w:tcPr>
          <w:p>
            <w:pPr>
              <w:jc w:val="right"/>
              <w:ind w:right="91"/>
              <w:spacing w:after="0"/>
              <w:rPr>
                <w:sz w:val="20"/>
                <w:szCs w:val="20"/>
                <w:color w:val="auto"/>
              </w:rPr>
            </w:pPr>
            <w:r>
              <w:rPr>
                <w:rFonts w:ascii="Arial" w:cs="Arial" w:eastAsia="Arial" w:hAnsi="Arial"/>
                <w:sz w:val="10"/>
                <w:szCs w:val="10"/>
                <w:color w:val="auto"/>
              </w:rPr>
              <w:t>2018</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$783,854</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00" w:type="dxa"/>
            <w:vAlign w:val="bottom"/>
          </w:tcPr>
          <w:p>
            <w:pPr>
              <w:jc w:val="right"/>
              <w:ind w:right="91"/>
              <w:spacing w:after="0"/>
              <w:rPr>
                <w:sz w:val="20"/>
                <w:szCs w:val="20"/>
                <w:color w:val="auto"/>
              </w:rPr>
            </w:pPr>
            <w:r>
              <w:rPr>
                <w:rFonts w:ascii="Arial" w:cs="Arial" w:eastAsia="Arial" w:hAnsi="Arial"/>
                <w:sz w:val="10"/>
                <w:szCs w:val="10"/>
                <w:color w:val="auto"/>
              </w:rPr>
              <w:t>$2,569,914</w:t>
            </w:r>
          </w:p>
        </w:tc>
        <w:tc>
          <w:tcPr>
            <w:tcW w:w="900" w:type="dxa"/>
            <w:vAlign w:val="bottom"/>
          </w:tcPr>
          <w:p>
            <w:pPr>
              <w:jc w:val="right"/>
              <w:ind w:right="211"/>
              <w:spacing w:after="0"/>
              <w:rPr>
                <w:sz w:val="20"/>
                <w:szCs w:val="20"/>
                <w:color w:val="auto"/>
              </w:rPr>
            </w:pPr>
            <w:r>
              <w:rPr>
                <w:rFonts w:ascii="Arial" w:cs="Arial" w:eastAsia="Arial" w:hAnsi="Arial"/>
                <w:sz w:val="10"/>
                <w:szCs w:val="10"/>
                <w:color w:val="auto"/>
              </w:rPr>
              <w:t>$0</w:t>
            </w:r>
          </w:p>
        </w:tc>
        <w:tc>
          <w:tcPr>
            <w:tcW w:w="980" w:type="dxa"/>
            <w:vAlign w:val="bottom"/>
          </w:tcPr>
          <w:p>
            <w:pPr>
              <w:jc w:val="right"/>
              <w:ind w:right="131"/>
              <w:spacing w:after="0"/>
              <w:rPr>
                <w:sz w:val="20"/>
                <w:szCs w:val="20"/>
                <w:color w:val="auto"/>
              </w:rPr>
            </w:pPr>
            <w:r>
              <w:rPr>
                <w:rFonts w:ascii="Arial" w:cs="Arial" w:eastAsia="Arial" w:hAnsi="Arial"/>
                <w:sz w:val="10"/>
                <w:szCs w:val="10"/>
                <w:color w:val="auto"/>
              </w:rPr>
              <w:t>$1,000,000</w:t>
            </w:r>
          </w:p>
        </w:tc>
        <w:tc>
          <w:tcPr>
            <w:tcW w:w="102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1160" w:type="dxa"/>
            <w:vAlign w:val="bottom"/>
          </w:tcPr>
          <w:p>
            <w:pPr>
              <w:jc w:val="right"/>
              <w:ind w:right="271"/>
              <w:spacing w:after="0"/>
              <w:rPr>
                <w:sz w:val="20"/>
                <w:szCs w:val="20"/>
                <w:color w:val="auto"/>
              </w:rPr>
            </w:pPr>
            <w:r>
              <w:rPr>
                <w:rFonts w:ascii="Arial" w:cs="Arial" w:eastAsia="Arial" w:hAnsi="Arial"/>
                <w:sz w:val="10"/>
                <w:szCs w:val="10"/>
                <w:color w:val="auto"/>
              </w:rPr>
              <w:t>$22,979</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$4,376,747</w:t>
            </w:r>
          </w:p>
        </w:tc>
      </w:tr>
      <w:tr>
        <w:trPr>
          <w:trHeight w:val="198"/>
        </w:trPr>
        <w:tc>
          <w:tcPr>
            <w:tcW w:w="1680" w:type="dxa"/>
            <w:vAlign w:val="bottom"/>
          </w:tcPr>
          <w:p>
            <w:pPr>
              <w:spacing w:after="0"/>
              <w:rPr>
                <w:sz w:val="20"/>
                <w:szCs w:val="20"/>
                <w:color w:val="auto"/>
              </w:rPr>
            </w:pPr>
            <w:r>
              <w:rPr>
                <w:rFonts w:ascii="Arial" w:cs="Arial" w:eastAsia="Arial" w:hAnsi="Arial"/>
                <w:sz w:val="10"/>
                <w:szCs w:val="10"/>
                <w:color w:val="auto"/>
              </w:rPr>
              <w:t>Stephen J. Morriss</w:t>
            </w:r>
          </w:p>
        </w:tc>
        <w:tc>
          <w:tcPr>
            <w:tcW w:w="400" w:type="dxa"/>
            <w:vAlign w:val="bottom"/>
          </w:tcPr>
          <w:p>
            <w:pPr>
              <w:jc w:val="right"/>
              <w:ind w:right="91"/>
              <w:spacing w:after="0"/>
              <w:rPr>
                <w:sz w:val="20"/>
                <w:szCs w:val="20"/>
                <w:color w:val="auto"/>
              </w:rPr>
            </w:pPr>
            <w:r>
              <w:rPr>
                <w:rFonts w:ascii="Arial" w:cs="Arial" w:eastAsia="Arial" w:hAnsi="Arial"/>
                <w:sz w:val="10"/>
                <w:szCs w:val="10"/>
                <w:color w:val="auto"/>
              </w:rPr>
              <w:t>2020</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$631,771</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00" w:type="dxa"/>
            <w:vAlign w:val="bottom"/>
          </w:tcPr>
          <w:p>
            <w:pPr>
              <w:jc w:val="right"/>
              <w:ind w:right="91"/>
              <w:spacing w:after="0"/>
              <w:rPr>
                <w:sz w:val="20"/>
                <w:szCs w:val="20"/>
                <w:color w:val="auto"/>
              </w:rPr>
            </w:pPr>
            <w:r>
              <w:rPr>
                <w:rFonts w:ascii="Arial" w:cs="Arial" w:eastAsia="Arial" w:hAnsi="Arial"/>
                <w:sz w:val="10"/>
                <w:szCs w:val="10"/>
                <w:color w:val="auto"/>
              </w:rPr>
              <w:t>$1,000,069</w:t>
            </w:r>
          </w:p>
        </w:tc>
        <w:tc>
          <w:tcPr>
            <w:tcW w:w="900" w:type="dxa"/>
            <w:vAlign w:val="bottom"/>
          </w:tcPr>
          <w:p>
            <w:pPr>
              <w:jc w:val="right"/>
              <w:ind w:right="211"/>
              <w:spacing w:after="0"/>
              <w:rPr>
                <w:sz w:val="20"/>
                <w:szCs w:val="20"/>
                <w:color w:val="auto"/>
              </w:rPr>
            </w:pPr>
            <w:r>
              <w:rPr>
                <w:rFonts w:ascii="Arial" w:cs="Arial" w:eastAsia="Arial" w:hAnsi="Arial"/>
                <w:sz w:val="10"/>
                <w:szCs w:val="10"/>
                <w:color w:val="auto"/>
              </w:rPr>
              <w:t>$0</w:t>
            </w:r>
          </w:p>
        </w:tc>
        <w:tc>
          <w:tcPr>
            <w:tcW w:w="980" w:type="dxa"/>
            <w:vAlign w:val="bottom"/>
          </w:tcPr>
          <w:p>
            <w:pPr>
              <w:jc w:val="right"/>
              <w:ind w:right="131"/>
              <w:spacing w:after="0"/>
              <w:rPr>
                <w:sz w:val="20"/>
                <w:szCs w:val="20"/>
                <w:color w:val="auto"/>
              </w:rPr>
            </w:pPr>
            <w:r>
              <w:rPr>
                <w:rFonts w:ascii="Arial" w:cs="Arial" w:eastAsia="Arial" w:hAnsi="Arial"/>
                <w:sz w:val="10"/>
                <w:szCs w:val="10"/>
                <w:color w:val="auto"/>
              </w:rPr>
              <w:t>$660,000</w:t>
            </w:r>
          </w:p>
        </w:tc>
        <w:tc>
          <w:tcPr>
            <w:tcW w:w="102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1160" w:type="dxa"/>
            <w:vAlign w:val="bottom"/>
          </w:tcPr>
          <w:p>
            <w:pPr>
              <w:jc w:val="right"/>
              <w:ind w:right="151"/>
              <w:spacing w:after="0"/>
              <w:rPr>
                <w:sz w:val="20"/>
                <w:szCs w:val="20"/>
                <w:color w:val="auto"/>
              </w:rPr>
            </w:pPr>
            <w:r>
              <w:rPr>
                <w:rFonts w:ascii="Arial" w:cs="Arial" w:eastAsia="Arial" w:hAnsi="Arial"/>
                <w:sz w:val="10"/>
                <w:szCs w:val="10"/>
                <w:color w:val="auto"/>
              </w:rPr>
              <w:t>$821,865(9)</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$3,113,705</w:t>
            </w:r>
          </w:p>
        </w:tc>
      </w:tr>
      <w:tr>
        <w:trPr>
          <w:trHeight w:val="130"/>
        </w:trPr>
        <w:tc>
          <w:tcPr>
            <w:tcW w:w="1680" w:type="dxa"/>
            <w:vAlign w:val="bottom"/>
          </w:tcPr>
          <w:p>
            <w:pPr>
              <w:ind w:left="80"/>
              <w:spacing w:after="0"/>
              <w:rPr>
                <w:sz w:val="20"/>
                <w:szCs w:val="20"/>
                <w:color w:val="auto"/>
              </w:rPr>
            </w:pPr>
            <w:r>
              <w:rPr>
                <w:rFonts w:ascii="Arial" w:cs="Arial" w:eastAsia="Arial" w:hAnsi="Arial"/>
                <w:sz w:val="10"/>
                <w:szCs w:val="10"/>
                <w:color w:val="auto"/>
              </w:rPr>
              <w:t>Group President, DCSA</w:t>
            </w:r>
          </w:p>
        </w:tc>
        <w:tc>
          <w:tcPr>
            <w:tcW w:w="400" w:type="dxa"/>
            <w:vAlign w:val="bottom"/>
          </w:tcPr>
          <w:p>
            <w:pPr>
              <w:jc w:val="right"/>
              <w:ind w:right="91"/>
              <w:spacing w:after="0"/>
              <w:rPr>
                <w:sz w:val="20"/>
                <w:szCs w:val="20"/>
                <w:color w:val="auto"/>
              </w:rPr>
            </w:pPr>
            <w:r>
              <w:rPr>
                <w:rFonts w:ascii="Arial" w:cs="Arial" w:eastAsia="Arial" w:hAnsi="Arial"/>
                <w:sz w:val="10"/>
                <w:szCs w:val="10"/>
                <w:color w:val="auto"/>
              </w:rPr>
              <w:t>2019</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$635,962</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$175,000</w:t>
            </w:r>
          </w:p>
        </w:tc>
        <w:tc>
          <w:tcPr>
            <w:tcW w:w="800" w:type="dxa"/>
            <w:vAlign w:val="bottom"/>
          </w:tcPr>
          <w:p>
            <w:pPr>
              <w:jc w:val="right"/>
              <w:ind w:right="91"/>
              <w:spacing w:after="0"/>
              <w:rPr>
                <w:sz w:val="20"/>
                <w:szCs w:val="20"/>
                <w:color w:val="auto"/>
              </w:rPr>
            </w:pPr>
            <w:r>
              <w:rPr>
                <w:rFonts w:ascii="Arial" w:cs="Arial" w:eastAsia="Arial" w:hAnsi="Arial"/>
                <w:sz w:val="10"/>
                <w:szCs w:val="10"/>
                <w:color w:val="auto"/>
              </w:rPr>
              <w:t>$1,000,038</w:t>
            </w:r>
          </w:p>
        </w:tc>
        <w:tc>
          <w:tcPr>
            <w:tcW w:w="900" w:type="dxa"/>
            <w:vAlign w:val="bottom"/>
          </w:tcPr>
          <w:p>
            <w:pPr>
              <w:jc w:val="right"/>
              <w:ind w:right="211"/>
              <w:spacing w:after="0"/>
              <w:rPr>
                <w:sz w:val="20"/>
                <w:szCs w:val="20"/>
                <w:color w:val="auto"/>
              </w:rPr>
            </w:pPr>
            <w:r>
              <w:rPr>
                <w:rFonts w:ascii="Arial" w:cs="Arial" w:eastAsia="Arial" w:hAnsi="Arial"/>
                <w:sz w:val="10"/>
                <w:szCs w:val="10"/>
                <w:color w:val="auto"/>
              </w:rPr>
              <w:t>$0</w:t>
            </w:r>
          </w:p>
        </w:tc>
        <w:tc>
          <w:tcPr>
            <w:tcW w:w="980" w:type="dxa"/>
            <w:vAlign w:val="bottom"/>
          </w:tcPr>
          <w:p>
            <w:pPr>
              <w:jc w:val="right"/>
              <w:ind w:right="131"/>
              <w:spacing w:after="0"/>
              <w:rPr>
                <w:sz w:val="20"/>
                <w:szCs w:val="20"/>
                <w:color w:val="auto"/>
              </w:rPr>
            </w:pPr>
            <w:r>
              <w:rPr>
                <w:rFonts w:ascii="Arial" w:cs="Arial" w:eastAsia="Arial" w:hAnsi="Arial"/>
                <w:sz w:val="10"/>
                <w:szCs w:val="10"/>
                <w:color w:val="auto"/>
              </w:rPr>
              <w:t>$815,000</w:t>
            </w:r>
          </w:p>
        </w:tc>
        <w:tc>
          <w:tcPr>
            <w:tcW w:w="102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1160" w:type="dxa"/>
            <w:vAlign w:val="bottom"/>
          </w:tcPr>
          <w:p>
            <w:pPr>
              <w:jc w:val="right"/>
              <w:ind w:right="271"/>
              <w:spacing w:after="0"/>
              <w:rPr>
                <w:sz w:val="20"/>
                <w:szCs w:val="20"/>
                <w:color w:val="auto"/>
              </w:rPr>
            </w:pPr>
            <w:r>
              <w:rPr>
                <w:rFonts w:ascii="Arial" w:cs="Arial" w:eastAsia="Arial" w:hAnsi="Arial"/>
                <w:sz w:val="10"/>
                <w:szCs w:val="10"/>
                <w:color w:val="auto"/>
              </w:rPr>
              <w:t>$52,231</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$2,678,231</w:t>
            </w:r>
          </w:p>
        </w:tc>
      </w:tr>
      <w:tr>
        <w:trPr>
          <w:trHeight w:val="198"/>
        </w:trPr>
        <w:tc>
          <w:tcPr>
            <w:tcW w:w="1680" w:type="dxa"/>
            <w:vAlign w:val="bottom"/>
          </w:tcPr>
          <w:p>
            <w:pPr>
              <w:spacing w:after="0"/>
              <w:rPr>
                <w:sz w:val="20"/>
                <w:szCs w:val="20"/>
                <w:color w:val="auto"/>
              </w:rPr>
            </w:pPr>
            <w:r>
              <w:rPr>
                <w:rFonts w:ascii="Arial" w:cs="Arial" w:eastAsia="Arial" w:hAnsi="Arial"/>
                <w:sz w:val="10"/>
                <w:szCs w:val="10"/>
                <w:color w:val="auto"/>
              </w:rPr>
              <w:t>Michael S. Burke</w:t>
            </w:r>
          </w:p>
        </w:tc>
        <w:tc>
          <w:tcPr>
            <w:tcW w:w="400" w:type="dxa"/>
            <w:vAlign w:val="bottom"/>
          </w:tcPr>
          <w:p>
            <w:pPr>
              <w:jc w:val="right"/>
              <w:ind w:right="91"/>
              <w:spacing w:after="0"/>
              <w:rPr>
                <w:sz w:val="20"/>
                <w:szCs w:val="20"/>
                <w:color w:val="auto"/>
              </w:rPr>
            </w:pPr>
            <w:r>
              <w:rPr>
                <w:rFonts w:ascii="Arial" w:cs="Arial" w:eastAsia="Arial" w:hAnsi="Arial"/>
                <w:sz w:val="10"/>
                <w:szCs w:val="10"/>
                <w:color w:val="auto"/>
              </w:rPr>
              <w:t>2020</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$1,228,857</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00" w:type="dxa"/>
            <w:vAlign w:val="bottom"/>
          </w:tcPr>
          <w:p>
            <w:pPr>
              <w:jc w:val="right"/>
              <w:ind w:right="91"/>
              <w:spacing w:after="0"/>
              <w:rPr>
                <w:sz w:val="20"/>
                <w:szCs w:val="20"/>
                <w:color w:val="auto"/>
              </w:rPr>
            </w:pPr>
            <w:r>
              <w:rPr>
                <w:rFonts w:ascii="Arial" w:cs="Arial" w:eastAsia="Arial" w:hAnsi="Arial"/>
                <w:sz w:val="10"/>
                <w:szCs w:val="10"/>
                <w:color w:val="auto"/>
              </w:rPr>
              <w:t>$0</w:t>
            </w:r>
          </w:p>
        </w:tc>
        <w:tc>
          <w:tcPr>
            <w:tcW w:w="900" w:type="dxa"/>
            <w:vAlign w:val="bottom"/>
          </w:tcPr>
          <w:p>
            <w:pPr>
              <w:jc w:val="right"/>
              <w:ind w:right="211"/>
              <w:spacing w:after="0"/>
              <w:rPr>
                <w:sz w:val="20"/>
                <w:szCs w:val="20"/>
                <w:color w:val="auto"/>
              </w:rPr>
            </w:pPr>
            <w:r>
              <w:rPr>
                <w:rFonts w:ascii="Arial" w:cs="Arial" w:eastAsia="Arial" w:hAnsi="Arial"/>
                <w:sz w:val="10"/>
                <w:szCs w:val="10"/>
                <w:color w:val="auto"/>
              </w:rPr>
              <w:t>$0</w:t>
            </w:r>
          </w:p>
        </w:tc>
        <w:tc>
          <w:tcPr>
            <w:tcW w:w="980" w:type="dxa"/>
            <w:vAlign w:val="bottom"/>
          </w:tcPr>
          <w:p>
            <w:pPr>
              <w:jc w:val="right"/>
              <w:ind w:right="131"/>
              <w:spacing w:after="0"/>
              <w:rPr>
                <w:sz w:val="20"/>
                <w:szCs w:val="20"/>
                <w:color w:val="auto"/>
              </w:rPr>
            </w:pPr>
            <w:r>
              <w:rPr>
                <w:rFonts w:ascii="Arial" w:cs="Arial" w:eastAsia="Arial" w:hAnsi="Arial"/>
                <w:sz w:val="10"/>
                <w:szCs w:val="10"/>
                <w:color w:val="auto"/>
              </w:rPr>
              <w:t>$1,111,275</w:t>
            </w:r>
          </w:p>
        </w:tc>
        <w:tc>
          <w:tcPr>
            <w:tcW w:w="102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1160" w:type="dxa"/>
            <w:vAlign w:val="bottom"/>
          </w:tcPr>
          <w:p>
            <w:pPr>
              <w:jc w:val="right"/>
              <w:ind w:right="91"/>
              <w:spacing w:after="0"/>
              <w:rPr>
                <w:sz w:val="20"/>
                <w:szCs w:val="20"/>
                <w:color w:val="auto"/>
              </w:rPr>
            </w:pPr>
            <w:r>
              <w:rPr>
                <w:rFonts w:ascii="Arial" w:cs="Arial" w:eastAsia="Arial" w:hAnsi="Arial"/>
                <w:sz w:val="10"/>
                <w:szCs w:val="10"/>
                <w:color w:val="auto"/>
              </w:rPr>
              <w:t>$15,107,930(10)</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$17,448,062</w:t>
            </w:r>
          </w:p>
        </w:tc>
      </w:tr>
      <w:tr>
        <w:trPr>
          <w:trHeight w:val="130"/>
        </w:trPr>
        <w:tc>
          <w:tcPr>
            <w:tcW w:w="1680" w:type="dxa"/>
            <w:vAlign w:val="bottom"/>
          </w:tcPr>
          <w:p>
            <w:pPr>
              <w:ind w:left="80"/>
              <w:spacing w:after="0"/>
              <w:rPr>
                <w:sz w:val="20"/>
                <w:szCs w:val="20"/>
                <w:color w:val="auto"/>
              </w:rPr>
            </w:pPr>
            <w:r>
              <w:rPr>
                <w:rFonts w:ascii="Arial" w:cs="Arial" w:eastAsia="Arial" w:hAnsi="Arial"/>
                <w:sz w:val="10"/>
                <w:szCs w:val="10"/>
                <w:color w:val="auto"/>
              </w:rPr>
              <w:t>Former Chairman &amp; CEO</w:t>
            </w:r>
          </w:p>
        </w:tc>
        <w:tc>
          <w:tcPr>
            <w:tcW w:w="400" w:type="dxa"/>
            <w:vAlign w:val="bottom"/>
          </w:tcPr>
          <w:p>
            <w:pPr>
              <w:jc w:val="right"/>
              <w:ind w:right="91"/>
              <w:spacing w:after="0"/>
              <w:rPr>
                <w:sz w:val="20"/>
                <w:szCs w:val="20"/>
                <w:color w:val="auto"/>
              </w:rPr>
            </w:pPr>
            <w:r>
              <w:rPr>
                <w:rFonts w:ascii="Arial" w:cs="Arial" w:eastAsia="Arial" w:hAnsi="Arial"/>
                <w:sz w:val="10"/>
                <w:szCs w:val="10"/>
                <w:color w:val="auto"/>
              </w:rPr>
              <w:t>2019</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$1,500,013</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00" w:type="dxa"/>
            <w:vAlign w:val="bottom"/>
          </w:tcPr>
          <w:p>
            <w:pPr>
              <w:jc w:val="right"/>
              <w:ind w:right="91"/>
              <w:spacing w:after="0"/>
              <w:rPr>
                <w:sz w:val="20"/>
                <w:szCs w:val="20"/>
                <w:color w:val="auto"/>
              </w:rPr>
            </w:pPr>
            <w:r>
              <w:rPr>
                <w:rFonts w:ascii="Arial" w:cs="Arial" w:eastAsia="Arial" w:hAnsi="Arial"/>
                <w:sz w:val="10"/>
                <w:szCs w:val="10"/>
                <w:color w:val="auto"/>
              </w:rPr>
              <w:t>$11,000,000</w:t>
            </w:r>
          </w:p>
        </w:tc>
        <w:tc>
          <w:tcPr>
            <w:tcW w:w="900" w:type="dxa"/>
            <w:vAlign w:val="bottom"/>
          </w:tcPr>
          <w:p>
            <w:pPr>
              <w:jc w:val="right"/>
              <w:ind w:right="211"/>
              <w:spacing w:after="0"/>
              <w:rPr>
                <w:sz w:val="20"/>
                <w:szCs w:val="20"/>
                <w:color w:val="auto"/>
              </w:rPr>
            </w:pPr>
            <w:r>
              <w:rPr>
                <w:rFonts w:ascii="Arial" w:cs="Arial" w:eastAsia="Arial" w:hAnsi="Arial"/>
                <w:sz w:val="10"/>
                <w:szCs w:val="10"/>
                <w:color w:val="auto"/>
              </w:rPr>
              <w:t>$0</w:t>
            </w:r>
          </w:p>
        </w:tc>
        <w:tc>
          <w:tcPr>
            <w:tcW w:w="980" w:type="dxa"/>
            <w:vAlign w:val="bottom"/>
          </w:tcPr>
          <w:p>
            <w:pPr>
              <w:jc w:val="right"/>
              <w:ind w:right="131"/>
              <w:spacing w:after="0"/>
              <w:rPr>
                <w:sz w:val="20"/>
                <w:szCs w:val="20"/>
                <w:color w:val="auto"/>
              </w:rPr>
            </w:pPr>
            <w:r>
              <w:rPr>
                <w:rFonts w:ascii="Arial" w:cs="Arial" w:eastAsia="Arial" w:hAnsi="Arial"/>
                <w:sz w:val="10"/>
                <w:szCs w:val="10"/>
                <w:color w:val="auto"/>
              </w:rPr>
              <w:t>$3,037,500</w:t>
            </w:r>
          </w:p>
        </w:tc>
        <w:tc>
          <w:tcPr>
            <w:tcW w:w="102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1160" w:type="dxa"/>
            <w:vAlign w:val="bottom"/>
          </w:tcPr>
          <w:p>
            <w:pPr>
              <w:jc w:val="right"/>
              <w:ind w:right="271"/>
              <w:spacing w:after="0"/>
              <w:rPr>
                <w:sz w:val="20"/>
                <w:szCs w:val="20"/>
                <w:color w:val="auto"/>
              </w:rPr>
            </w:pPr>
            <w:r>
              <w:rPr>
                <w:rFonts w:ascii="Arial" w:cs="Arial" w:eastAsia="Arial" w:hAnsi="Arial"/>
                <w:sz w:val="10"/>
                <w:szCs w:val="10"/>
                <w:color w:val="auto"/>
              </w:rPr>
              <w:t>$372,728</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$15,910,241</w:t>
            </w:r>
          </w:p>
        </w:tc>
      </w:tr>
      <w:tr>
        <w:trPr>
          <w:trHeight w:val="146"/>
        </w:trPr>
        <w:tc>
          <w:tcPr>
            <w:tcW w:w="1680" w:type="dxa"/>
            <w:vAlign w:val="bottom"/>
          </w:tcPr>
          <w:p>
            <w:pPr>
              <w:spacing w:after="0"/>
              <w:rPr>
                <w:sz w:val="12"/>
                <w:szCs w:val="12"/>
                <w:color w:val="auto"/>
              </w:rPr>
            </w:pPr>
          </w:p>
        </w:tc>
        <w:tc>
          <w:tcPr>
            <w:tcW w:w="400" w:type="dxa"/>
            <w:vAlign w:val="bottom"/>
          </w:tcPr>
          <w:p>
            <w:pPr>
              <w:jc w:val="right"/>
              <w:ind w:right="91"/>
              <w:spacing w:after="0"/>
              <w:rPr>
                <w:sz w:val="20"/>
                <w:szCs w:val="20"/>
                <w:color w:val="auto"/>
              </w:rPr>
            </w:pPr>
            <w:r>
              <w:rPr>
                <w:rFonts w:ascii="Arial" w:cs="Arial" w:eastAsia="Arial" w:hAnsi="Arial"/>
                <w:sz w:val="10"/>
                <w:szCs w:val="10"/>
                <w:color w:val="auto"/>
              </w:rPr>
              <w:t>2018</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$1,466,357</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00" w:type="dxa"/>
            <w:vAlign w:val="bottom"/>
          </w:tcPr>
          <w:p>
            <w:pPr>
              <w:jc w:val="right"/>
              <w:ind w:right="91"/>
              <w:spacing w:after="0"/>
              <w:rPr>
                <w:sz w:val="20"/>
                <w:szCs w:val="20"/>
                <w:color w:val="auto"/>
              </w:rPr>
            </w:pPr>
            <w:r>
              <w:rPr>
                <w:rFonts w:ascii="Arial" w:cs="Arial" w:eastAsia="Arial" w:hAnsi="Arial"/>
                <w:sz w:val="10"/>
                <w:szCs w:val="10"/>
                <w:color w:val="auto"/>
              </w:rPr>
              <w:t>$11,307,440</w:t>
            </w:r>
          </w:p>
        </w:tc>
        <w:tc>
          <w:tcPr>
            <w:tcW w:w="900" w:type="dxa"/>
            <w:vAlign w:val="bottom"/>
          </w:tcPr>
          <w:p>
            <w:pPr>
              <w:jc w:val="right"/>
              <w:ind w:right="211"/>
              <w:spacing w:after="0"/>
              <w:rPr>
                <w:sz w:val="20"/>
                <w:szCs w:val="20"/>
                <w:color w:val="auto"/>
              </w:rPr>
            </w:pPr>
            <w:r>
              <w:rPr>
                <w:rFonts w:ascii="Arial" w:cs="Arial" w:eastAsia="Arial" w:hAnsi="Arial"/>
                <w:sz w:val="10"/>
                <w:szCs w:val="10"/>
                <w:color w:val="auto"/>
              </w:rPr>
              <w:t>$0</w:t>
            </w:r>
          </w:p>
        </w:tc>
        <w:tc>
          <w:tcPr>
            <w:tcW w:w="980" w:type="dxa"/>
            <w:vAlign w:val="bottom"/>
          </w:tcPr>
          <w:p>
            <w:pPr>
              <w:jc w:val="right"/>
              <w:ind w:right="131"/>
              <w:spacing w:after="0"/>
              <w:rPr>
                <w:sz w:val="20"/>
                <w:szCs w:val="20"/>
                <w:color w:val="auto"/>
              </w:rPr>
            </w:pPr>
            <w:r>
              <w:rPr>
                <w:rFonts w:ascii="Arial" w:cs="Arial" w:eastAsia="Arial" w:hAnsi="Arial"/>
                <w:sz w:val="10"/>
                <w:szCs w:val="10"/>
                <w:color w:val="auto"/>
              </w:rPr>
              <w:t>$2,475,000</w:t>
            </w:r>
          </w:p>
        </w:tc>
        <w:tc>
          <w:tcPr>
            <w:tcW w:w="102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1160" w:type="dxa"/>
            <w:vAlign w:val="bottom"/>
          </w:tcPr>
          <w:p>
            <w:pPr>
              <w:jc w:val="right"/>
              <w:ind w:right="271"/>
              <w:spacing w:after="0"/>
              <w:rPr>
                <w:sz w:val="20"/>
                <w:szCs w:val="20"/>
                <w:color w:val="auto"/>
              </w:rPr>
            </w:pPr>
            <w:r>
              <w:rPr>
                <w:rFonts w:ascii="Arial" w:cs="Arial" w:eastAsia="Arial" w:hAnsi="Arial"/>
                <w:sz w:val="10"/>
                <w:szCs w:val="10"/>
                <w:color w:val="auto"/>
              </w:rPr>
              <w:t>$417,522</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$15,666,319</w:t>
            </w:r>
          </w:p>
        </w:tc>
      </w:tr>
      <w:tr>
        <w:trPr>
          <w:trHeight w:val="61"/>
        </w:trPr>
        <w:tc>
          <w:tcPr>
            <w:tcW w:w="1680" w:type="dxa"/>
            <w:vAlign w:val="bottom"/>
            <w:tcBorders>
              <w:bottom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r>
    </w:tbl>
    <w:p>
      <w:pPr>
        <w:spacing w:after="0" w:line="134" w:lineRule="exact"/>
        <w:rPr>
          <w:sz w:val="20"/>
          <w:szCs w:val="20"/>
          <w:color w:val="auto"/>
        </w:rPr>
      </w:pPr>
    </w:p>
    <w:p>
      <w:pPr>
        <w:jc w:val="both"/>
        <w:ind w:left="1480" w:hanging="357"/>
        <w:spacing w:after="0" w:line="256" w:lineRule="auto"/>
        <w:tabs>
          <w:tab w:leader="none" w:pos="14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Includes any amounts deferred to AECOM's qualified defined contribution plan and our non-qualified deferred compensation plan. For more information regarding amounts deferred into the non-qualified deferred compensation plan, please refer to the "EXECUTIVE NONQUALIFIED DEFERRED COMPENSATION FOR FISCAL YEAR 2020" table. The Fiscal Year 2020 compensation amounts are for a 53 week fiscal year while the Fiscal Year 2019 and Fiscal Year 2018 compensation amounts are for a 52 week fiscal year.</w:t>
      </w:r>
    </w:p>
    <w:p>
      <w:pPr>
        <w:spacing w:after="0" w:line="114" w:lineRule="exact"/>
        <w:rPr>
          <w:rFonts w:ascii="Arial" w:cs="Arial" w:eastAsia="Arial" w:hAnsi="Arial"/>
          <w:sz w:val="12"/>
          <w:szCs w:val="12"/>
          <w:color w:val="auto"/>
        </w:rPr>
      </w:pPr>
    </w:p>
    <w:p>
      <w:pPr>
        <w:jc w:val="both"/>
        <w:ind w:left="1480" w:hanging="357"/>
        <w:spacing w:after="0" w:line="245" w:lineRule="auto"/>
        <w:tabs>
          <w:tab w:leader="none" w:pos="14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These amounts represent the grant date fair value of the stock awards granted during the applicable fiscal year. With respect to the PEP awards, these amounts represent the value based on the target performance as of the grant date. The value of the PEP2020 awards based on maximum performance is as follows: Mr. Rudd — $3,000,0000 ($1,500,000× 200%), Mr. Kapoor — $720,000 ($360,000 × 200%), Ms. Poloni — $1,200,000 ($600,000 × 200%), Mr. Wotring — $3,300,000 ($1,650,000 × 200%), and Mr. Morriss — $1,200,000 ($600,000 × 200%). PEP2020 awards cliff vest after a three-year performance period based on cumulative performance against performance goals and continued employment over that period (except in the case of certain qualifying terminations). RSU awards cliff vest on the third anniversary of the grant date, subject to continued employment through the applicable vesting date (except in the case of certain qualifying terminations).</w:t>
      </w:r>
    </w:p>
    <w:p>
      <w:pPr>
        <w:spacing w:after="0" w:line="275" w:lineRule="exact"/>
        <w:rPr>
          <w:rFonts w:ascii="Arial" w:cs="Arial" w:eastAsia="Arial" w:hAnsi="Arial"/>
          <w:sz w:val="12"/>
          <w:szCs w:val="12"/>
          <w:color w:val="auto"/>
        </w:rPr>
      </w:pPr>
    </w:p>
    <w:p>
      <w:pPr>
        <w:ind w:left="1480" w:right="20"/>
        <w:spacing w:after="0" w:line="274" w:lineRule="auto"/>
        <w:rPr>
          <w:rFonts w:ascii="Arial" w:cs="Arial" w:eastAsia="Arial" w:hAnsi="Arial"/>
          <w:sz w:val="12"/>
          <w:szCs w:val="12"/>
          <w:color w:val="auto"/>
        </w:rPr>
      </w:pPr>
      <w:r>
        <w:rPr>
          <w:rFonts w:ascii="Arial" w:cs="Arial" w:eastAsia="Arial" w:hAnsi="Arial"/>
          <w:sz w:val="12"/>
          <w:szCs w:val="12"/>
          <w:color w:val="auto"/>
        </w:rPr>
        <w:t>The "GRANTS OF PLAN-BASED AWARDS FOR FISCAL YEAR 2020," "OUTSTANDING EQUITY AWARDS FOR FISCAL YEAR END 2020" and the "OPTION EXERCISES AND STOCK VESTED FOR FISCAL YEAR 2020" tables include additional information with respect to all awards outstanding as of September 30, 2020.</w:t>
      </w:r>
    </w:p>
    <w:p>
      <w:pPr>
        <w:spacing w:after="0" w:line="95" w:lineRule="exact"/>
        <w:rPr>
          <w:rFonts w:ascii="Arial" w:cs="Arial" w:eastAsia="Arial" w:hAnsi="Arial"/>
          <w:sz w:val="12"/>
          <w:szCs w:val="12"/>
          <w:color w:val="auto"/>
        </w:rPr>
      </w:pPr>
    </w:p>
    <w:p>
      <w:pPr>
        <w:ind w:left="1480" w:hanging="357"/>
        <w:spacing w:after="0"/>
        <w:tabs>
          <w:tab w:leader="none" w:pos="1480"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These amounts represent the annual bonus/short-term incentive compensation earned by the NEOs in their respective fiscal years. See "COMPENSATION DISCUSSION AND ANALYSIS</w:t>
      </w:r>
    </w:p>
    <w:p>
      <w:pPr>
        <w:spacing w:after="0" w:line="24" w:lineRule="exact"/>
        <w:rPr>
          <w:rFonts w:ascii="Arial" w:cs="Arial" w:eastAsia="Arial" w:hAnsi="Arial"/>
          <w:sz w:val="11"/>
          <w:szCs w:val="11"/>
          <w:color w:val="auto"/>
        </w:rPr>
      </w:pPr>
    </w:p>
    <w:p>
      <w:pPr>
        <w:ind w:left="1480" w:right="20"/>
        <w:spacing w:after="0" w:line="250" w:lineRule="auto"/>
        <w:rPr>
          <w:rFonts w:ascii="Arial" w:cs="Arial" w:eastAsia="Arial" w:hAnsi="Arial"/>
          <w:sz w:val="11"/>
          <w:szCs w:val="11"/>
          <w:color w:val="auto"/>
        </w:rPr>
      </w:pPr>
      <w:r>
        <w:rPr>
          <w:rFonts w:ascii="Arial" w:cs="Arial" w:eastAsia="Arial" w:hAnsi="Arial"/>
          <w:sz w:val="12"/>
          <w:szCs w:val="12"/>
          <w:color w:val="auto"/>
        </w:rPr>
        <w:t>— 2020 ELEMENTS OF OUR NAMED EXECUTIVE COMPENSATION" for a description of this short-term incentive program. These figures include any amounts deferred to the Company's qualified defined contribution and non-qualified deferred compensation plan.</w:t>
      </w:r>
    </w:p>
    <w:p>
      <w:pPr>
        <w:spacing w:after="0" w:line="117" w:lineRule="exact"/>
        <w:rPr>
          <w:rFonts w:ascii="Arial" w:cs="Arial" w:eastAsia="Arial" w:hAnsi="Arial"/>
          <w:sz w:val="11"/>
          <w:szCs w:val="11"/>
          <w:color w:val="auto"/>
        </w:rPr>
      </w:pPr>
    </w:p>
    <w:p>
      <w:pPr>
        <w:ind w:left="1480" w:right="20" w:hanging="357"/>
        <w:spacing w:after="0" w:line="274" w:lineRule="auto"/>
        <w:tabs>
          <w:tab w:leader="none" w:pos="14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This amount represents the one-time performance stock option award granted to Mr. Rudd upon his promotion to CEO. The performance stock option is subject to both service and stock price vesting conditions, which must each be satisfied for the option to be vested as to the underlying shares.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6" w:name="page87"/>
    <w:bookmarkEnd w:id="86"/>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ind w:left="1480" w:right="20" w:hanging="357"/>
        <w:spacing w:after="0" w:line="274" w:lineRule="auto"/>
        <w:tabs>
          <w:tab w:leader="none" w:pos="1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This amount includes a Company match in the AECOM Retirement and Savings Plan ("RSP"), executive life and disability insurance premiums, membership dues, and Company-paid charitable match.</w:t>
      </w:r>
    </w:p>
    <w:p>
      <w:pPr>
        <w:spacing w:after="0" w:line="104" w:lineRule="exact"/>
        <w:rPr>
          <w:rFonts w:ascii="Arial" w:cs="Arial" w:eastAsia="Arial" w:hAnsi="Arial"/>
          <w:sz w:val="12"/>
          <w:szCs w:val="12"/>
          <w:color w:val="auto"/>
        </w:rPr>
      </w:pPr>
    </w:p>
    <w:p>
      <w:pPr>
        <w:ind w:left="1480" w:hanging="357"/>
        <w:spacing w:after="0"/>
        <w:tabs>
          <w:tab w:leader="none" w:pos="1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This amount includes executive life insurance premiums, membership dues and Company-paid parking.</w:t>
      </w:r>
    </w:p>
    <w:p>
      <w:pPr>
        <w:spacing w:after="0" w:line="135" w:lineRule="exact"/>
        <w:rPr>
          <w:rFonts w:ascii="Arial" w:cs="Arial" w:eastAsia="Arial" w:hAnsi="Arial"/>
          <w:sz w:val="12"/>
          <w:szCs w:val="12"/>
          <w:color w:val="auto"/>
        </w:rPr>
      </w:pPr>
    </w:p>
    <w:p>
      <w:pPr>
        <w:ind w:left="1480" w:hanging="357"/>
        <w:spacing w:after="0" w:line="274" w:lineRule="auto"/>
        <w:tabs>
          <w:tab w:leader="none" w:pos="1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This amount includes an auto allowance, executive health and welfare benefit premium, relocation expenses, $102,138 housing allowance while in the UK (ceasing upon her return to Australia), $57,454 gross-up on the housing allowance, and $33,341 pension allowance.</w:t>
      </w:r>
    </w:p>
    <w:p>
      <w:pPr>
        <w:spacing w:after="0" w:line="95" w:lineRule="exact"/>
        <w:rPr>
          <w:rFonts w:ascii="Arial" w:cs="Arial" w:eastAsia="Arial" w:hAnsi="Arial"/>
          <w:sz w:val="12"/>
          <w:szCs w:val="12"/>
          <w:color w:val="auto"/>
        </w:rPr>
      </w:pPr>
    </w:p>
    <w:p>
      <w:pPr>
        <w:ind w:left="1480" w:hanging="357"/>
        <w:spacing w:after="0"/>
        <w:tabs>
          <w:tab w:leader="none" w:pos="1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This amount includes a Company match in the RSP, executive life insurance premiums, other medical costs and a $1,101,928 severance payment.</w:t>
      </w:r>
    </w:p>
    <w:p>
      <w:pPr>
        <w:spacing w:after="0" w:line="144" w:lineRule="exact"/>
        <w:rPr>
          <w:rFonts w:ascii="Arial" w:cs="Arial" w:eastAsia="Arial" w:hAnsi="Arial"/>
          <w:sz w:val="12"/>
          <w:szCs w:val="12"/>
          <w:color w:val="auto"/>
        </w:rPr>
      </w:pPr>
    </w:p>
    <w:p>
      <w:pPr>
        <w:ind w:left="1480" w:hanging="357"/>
        <w:spacing w:after="0" w:line="274" w:lineRule="auto"/>
        <w:tabs>
          <w:tab w:leader="none" w:pos="1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This amount includes a Company match in the RSP, executive life insurance premiums, other medical costs, Company-paid parking, entertainment and a $719,359 severance payment, which includes $47,650 in relocation benefits.</w:t>
      </w:r>
    </w:p>
    <w:p>
      <w:pPr>
        <w:spacing w:after="0" w:line="95" w:lineRule="exact"/>
        <w:rPr>
          <w:rFonts w:ascii="Arial" w:cs="Arial" w:eastAsia="Arial" w:hAnsi="Arial"/>
          <w:sz w:val="12"/>
          <w:szCs w:val="12"/>
          <w:color w:val="auto"/>
        </w:rPr>
      </w:pPr>
    </w:p>
    <w:p>
      <w:pPr>
        <w:jc w:val="both"/>
        <w:ind w:left="1480" w:hanging="357"/>
        <w:spacing w:after="0" w:line="256" w:lineRule="auto"/>
        <w:tabs>
          <w:tab w:leader="none" w:pos="1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This amount includes a Company match in the RSP, executive life insurance premiums, health and welfare benefit premiums and other medical costs, membership dues, an executive allowance, entertainment, Company-paid charitable match, and $332,849 per the Security Arrangement as described below. It also includes the following in connection with Mr. Burke's termination as the Company's Chairman of the Board and CEO:</w:t>
      </w:r>
    </w:p>
    <w:p>
      <w:pPr>
        <w:spacing w:after="0" w:line="145" w:lineRule="exact"/>
        <w:rPr>
          <w:sz w:val="20"/>
          <w:szCs w:val="20"/>
          <w:color w:val="auto"/>
        </w:rPr>
      </w:pPr>
    </w:p>
    <w:tbl>
      <w:tblPr>
        <w:tblLayout w:type="fixed"/>
        <w:tblInd w:w="1120" w:type="dxa"/>
        <w:tblCellMar>
          <w:top w:w="0" w:type="dxa"/>
          <w:left w:w="0" w:type="dxa"/>
          <w:bottom w:w="0" w:type="dxa"/>
          <w:right w:w="0" w:type="dxa"/>
        </w:tblCellMar>
      </w:tblPr>
      <w:tr>
        <w:trPr>
          <w:trHeight w:val="118"/>
        </w:trPr>
        <w:tc>
          <w:tcPr>
            <w:tcW w:w="2740" w:type="dxa"/>
            <w:vAlign w:val="bottom"/>
            <w:tcBorders>
              <w:bottom w:val="single" w:sz="8" w:color="00B2E5"/>
            </w:tcBorders>
          </w:tcPr>
          <w:p>
            <w:pPr>
              <w:ind w:left="240"/>
              <w:spacing w:after="0"/>
              <w:rPr>
                <w:sz w:val="20"/>
                <w:szCs w:val="20"/>
                <w:color w:val="auto"/>
              </w:rPr>
            </w:pPr>
            <w:r>
              <w:rPr>
                <w:rFonts w:ascii="Arial" w:cs="Arial" w:eastAsia="Arial" w:hAnsi="Arial"/>
                <w:sz w:val="10"/>
                <w:szCs w:val="10"/>
                <w:b w:val="1"/>
                <w:bCs w:val="1"/>
                <w:color w:val="auto"/>
              </w:rPr>
              <w:t>Item</w:t>
            </w:r>
          </w:p>
        </w:tc>
        <w:tc>
          <w:tcPr>
            <w:tcW w:w="1420" w:type="dxa"/>
            <w:vAlign w:val="bottom"/>
            <w:tcBorders>
              <w:bottom w:val="single" w:sz="8" w:color="00B2E5"/>
            </w:tcBorders>
          </w:tcPr>
          <w:p>
            <w:pPr>
              <w:ind w:left="460"/>
              <w:spacing w:after="0"/>
              <w:rPr>
                <w:sz w:val="20"/>
                <w:szCs w:val="20"/>
                <w:color w:val="auto"/>
              </w:rPr>
            </w:pPr>
            <w:r>
              <w:rPr>
                <w:rFonts w:ascii="Arial" w:cs="Arial" w:eastAsia="Arial" w:hAnsi="Arial"/>
                <w:sz w:val="10"/>
                <w:szCs w:val="10"/>
                <w:b w:val="1"/>
                <w:bCs w:val="1"/>
                <w:color w:val="auto"/>
              </w:rPr>
              <w:t>Amount</w:t>
            </w:r>
          </w:p>
        </w:tc>
        <w:tc>
          <w:tcPr>
            <w:tcW w:w="4880" w:type="dxa"/>
            <w:vAlign w:val="bottom"/>
            <w:tcBorders>
              <w:bottom w:val="single" w:sz="8" w:color="00B2E5"/>
            </w:tcBorders>
          </w:tcPr>
          <w:p>
            <w:pPr>
              <w:ind w:left="100"/>
              <w:spacing w:after="0"/>
              <w:rPr>
                <w:sz w:val="20"/>
                <w:szCs w:val="20"/>
                <w:color w:val="auto"/>
              </w:rPr>
            </w:pPr>
            <w:r>
              <w:rPr>
                <w:rFonts w:ascii="Arial" w:cs="Arial" w:eastAsia="Arial" w:hAnsi="Arial"/>
                <w:sz w:val="10"/>
                <w:szCs w:val="10"/>
                <w:b w:val="1"/>
                <w:bCs w:val="1"/>
                <w:color w:val="auto"/>
              </w:rPr>
              <w:t>Source</w:t>
            </w:r>
          </w:p>
        </w:tc>
      </w:tr>
      <w:tr>
        <w:trPr>
          <w:trHeight w:val="144"/>
        </w:trPr>
        <w:tc>
          <w:tcPr>
            <w:tcW w:w="2740" w:type="dxa"/>
            <w:vAlign w:val="bottom"/>
            <w:tcBorders>
              <w:bottom w:val="single" w:sz="8" w:color="00B2E5"/>
              <w:right w:val="single" w:sz="8" w:color="63C1DF"/>
            </w:tcBorders>
          </w:tcPr>
          <w:p>
            <w:pPr>
              <w:ind w:left="240"/>
              <w:spacing w:after="0"/>
              <w:rPr>
                <w:sz w:val="20"/>
                <w:szCs w:val="20"/>
                <w:color w:val="auto"/>
              </w:rPr>
            </w:pPr>
            <w:r>
              <w:rPr>
                <w:rFonts w:ascii="Arial" w:cs="Arial" w:eastAsia="Arial" w:hAnsi="Arial"/>
                <w:sz w:val="12"/>
                <w:szCs w:val="12"/>
                <w:color w:val="auto"/>
              </w:rPr>
              <w:t>Cash Severance</w:t>
            </w:r>
          </w:p>
        </w:tc>
        <w:tc>
          <w:tcPr>
            <w:tcW w:w="1420" w:type="dxa"/>
            <w:vAlign w:val="bottom"/>
            <w:tcBorders>
              <w:bottom w:val="single" w:sz="8" w:color="00B2E5"/>
              <w:right w:val="single" w:sz="8" w:color="63C1DF"/>
            </w:tcBorders>
          </w:tcPr>
          <w:p>
            <w:pPr>
              <w:jc w:val="center"/>
              <w:ind w:right="83"/>
              <w:spacing w:after="0"/>
              <w:rPr>
                <w:sz w:val="20"/>
                <w:szCs w:val="20"/>
                <w:color w:val="auto"/>
              </w:rPr>
            </w:pPr>
            <w:r>
              <w:rPr>
                <w:rFonts w:ascii="Arial" w:cs="Arial" w:eastAsia="Arial" w:hAnsi="Arial"/>
                <w:sz w:val="12"/>
                <w:szCs w:val="12"/>
                <w:color w:val="auto"/>
                <w:w w:val="99"/>
              </w:rPr>
              <w:t>$8,895,210</w:t>
            </w:r>
          </w:p>
        </w:tc>
        <w:tc>
          <w:tcPr>
            <w:tcW w:w="4880" w:type="dxa"/>
            <w:vAlign w:val="bottom"/>
            <w:tcBorders>
              <w:bottom w:val="single" w:sz="8" w:color="00B2E5"/>
            </w:tcBorders>
          </w:tcPr>
          <w:p>
            <w:pPr>
              <w:ind w:left="100"/>
              <w:spacing w:after="0"/>
              <w:rPr>
                <w:sz w:val="20"/>
                <w:szCs w:val="20"/>
                <w:color w:val="auto"/>
              </w:rPr>
            </w:pPr>
            <w:r>
              <w:rPr>
                <w:rFonts w:ascii="Arial" w:cs="Arial" w:eastAsia="Arial" w:hAnsi="Arial"/>
                <w:sz w:val="12"/>
                <w:szCs w:val="12"/>
                <w:color w:val="auto"/>
              </w:rPr>
              <w:t>Amounts provided under the letter agreement dated March 6, 2014</w:t>
            </w:r>
          </w:p>
        </w:tc>
      </w:tr>
      <w:tr>
        <w:trPr>
          <w:trHeight w:val="114"/>
        </w:trPr>
        <w:tc>
          <w:tcPr>
            <w:tcW w:w="2740" w:type="dxa"/>
            <w:vAlign w:val="bottom"/>
            <w:tcBorders>
              <w:right w:val="single" w:sz="8" w:color="63C1DF"/>
            </w:tcBorders>
          </w:tcPr>
          <w:p>
            <w:pPr>
              <w:ind w:left="240"/>
              <w:spacing w:after="0" w:line="114" w:lineRule="exact"/>
              <w:rPr>
                <w:sz w:val="20"/>
                <w:szCs w:val="20"/>
                <w:color w:val="auto"/>
              </w:rPr>
            </w:pPr>
            <w:r>
              <w:rPr>
                <w:rFonts w:ascii="Arial" w:cs="Arial" w:eastAsia="Arial" w:hAnsi="Arial"/>
                <w:sz w:val="12"/>
                <w:szCs w:val="12"/>
                <w:color w:val="auto"/>
              </w:rPr>
              <w:t>Cash Incentive Retention Award</w:t>
            </w:r>
          </w:p>
        </w:tc>
        <w:tc>
          <w:tcPr>
            <w:tcW w:w="1420" w:type="dxa"/>
            <w:vAlign w:val="bottom"/>
            <w:tcBorders>
              <w:right w:val="single" w:sz="8" w:color="63C1DF"/>
            </w:tcBorders>
          </w:tcPr>
          <w:p>
            <w:pPr>
              <w:jc w:val="center"/>
              <w:ind w:right="83"/>
              <w:spacing w:after="0" w:line="114" w:lineRule="exact"/>
              <w:rPr>
                <w:sz w:val="20"/>
                <w:szCs w:val="20"/>
                <w:color w:val="auto"/>
              </w:rPr>
            </w:pPr>
            <w:r>
              <w:rPr>
                <w:rFonts w:ascii="Arial" w:cs="Arial" w:eastAsia="Arial" w:hAnsi="Arial"/>
                <w:sz w:val="12"/>
                <w:szCs w:val="12"/>
                <w:color w:val="auto"/>
                <w:w w:val="99"/>
              </w:rPr>
              <w:t>$4,516,129</w:t>
            </w:r>
          </w:p>
        </w:tc>
        <w:tc>
          <w:tcPr>
            <w:tcW w:w="4880" w:type="dxa"/>
            <w:vAlign w:val="bottom"/>
          </w:tcPr>
          <w:p>
            <w:pPr>
              <w:ind w:left="100"/>
              <w:spacing w:after="0" w:line="114" w:lineRule="exact"/>
              <w:rPr>
                <w:sz w:val="20"/>
                <w:szCs w:val="20"/>
                <w:color w:val="auto"/>
              </w:rPr>
            </w:pPr>
            <w:r>
              <w:rPr>
                <w:rFonts w:ascii="Arial" w:cs="Arial" w:eastAsia="Arial" w:hAnsi="Arial"/>
                <w:sz w:val="12"/>
                <w:szCs w:val="12"/>
                <w:color w:val="auto"/>
              </w:rPr>
              <w:t>Amounts provided under an Extension Letter dated March 11, 2020 (the "Extension</w:t>
            </w:r>
          </w:p>
        </w:tc>
      </w:tr>
      <w:tr>
        <w:trPr>
          <w:trHeight w:val="137"/>
        </w:trPr>
        <w:tc>
          <w:tcPr>
            <w:tcW w:w="2740" w:type="dxa"/>
            <w:vAlign w:val="bottom"/>
            <w:tcBorders>
              <w:right w:val="single" w:sz="8" w:color="63C1DF"/>
            </w:tcBorders>
          </w:tcPr>
          <w:p>
            <w:pPr>
              <w:spacing w:after="0"/>
              <w:rPr>
                <w:sz w:val="11"/>
                <w:szCs w:val="11"/>
                <w:color w:val="auto"/>
              </w:rPr>
            </w:pPr>
          </w:p>
        </w:tc>
        <w:tc>
          <w:tcPr>
            <w:tcW w:w="1420" w:type="dxa"/>
            <w:vAlign w:val="bottom"/>
            <w:tcBorders>
              <w:right w:val="single" w:sz="8" w:color="63C1DF"/>
            </w:tcBorders>
          </w:tcPr>
          <w:p>
            <w:pPr>
              <w:spacing w:after="0"/>
              <w:rPr>
                <w:sz w:val="11"/>
                <w:szCs w:val="11"/>
                <w:color w:val="auto"/>
              </w:rPr>
            </w:pPr>
          </w:p>
        </w:tc>
        <w:tc>
          <w:tcPr>
            <w:tcW w:w="4880" w:type="dxa"/>
            <w:vAlign w:val="bottom"/>
          </w:tcPr>
          <w:p>
            <w:pPr>
              <w:ind w:left="100"/>
              <w:spacing w:after="0" w:line="137" w:lineRule="exact"/>
              <w:rPr>
                <w:sz w:val="20"/>
                <w:szCs w:val="20"/>
                <w:color w:val="auto"/>
              </w:rPr>
            </w:pPr>
            <w:r>
              <w:rPr>
                <w:rFonts w:ascii="Arial" w:cs="Arial" w:eastAsia="Arial" w:hAnsi="Arial"/>
                <w:sz w:val="12"/>
                <w:szCs w:val="12"/>
                <w:color w:val="auto"/>
              </w:rPr>
              <w:t>Letter"): (a) to retain Mr. Burke until his replacement could be found; (b) to recognize</w:t>
            </w:r>
          </w:p>
        </w:tc>
      </w:tr>
      <w:tr>
        <w:trPr>
          <w:trHeight w:val="137"/>
        </w:trPr>
        <w:tc>
          <w:tcPr>
            <w:tcW w:w="2740" w:type="dxa"/>
            <w:vAlign w:val="bottom"/>
            <w:tcBorders>
              <w:right w:val="single" w:sz="8" w:color="63C1DF"/>
            </w:tcBorders>
          </w:tcPr>
          <w:p>
            <w:pPr>
              <w:spacing w:after="0"/>
              <w:rPr>
                <w:sz w:val="11"/>
                <w:szCs w:val="11"/>
                <w:color w:val="auto"/>
              </w:rPr>
            </w:pPr>
          </w:p>
        </w:tc>
        <w:tc>
          <w:tcPr>
            <w:tcW w:w="1420" w:type="dxa"/>
            <w:vAlign w:val="bottom"/>
            <w:tcBorders>
              <w:right w:val="single" w:sz="8" w:color="63C1DF"/>
            </w:tcBorders>
          </w:tcPr>
          <w:p>
            <w:pPr>
              <w:spacing w:after="0"/>
              <w:rPr>
                <w:sz w:val="11"/>
                <w:szCs w:val="11"/>
                <w:color w:val="auto"/>
              </w:rPr>
            </w:pPr>
          </w:p>
        </w:tc>
        <w:tc>
          <w:tcPr>
            <w:tcW w:w="4880" w:type="dxa"/>
            <w:vAlign w:val="bottom"/>
          </w:tcPr>
          <w:p>
            <w:pPr>
              <w:ind w:left="100"/>
              <w:spacing w:after="0" w:line="137" w:lineRule="exact"/>
              <w:rPr>
                <w:sz w:val="20"/>
                <w:szCs w:val="20"/>
                <w:color w:val="auto"/>
              </w:rPr>
            </w:pPr>
            <w:r>
              <w:rPr>
                <w:rFonts w:ascii="Arial" w:cs="Arial" w:eastAsia="Arial" w:hAnsi="Arial"/>
                <w:sz w:val="12"/>
                <w:szCs w:val="12"/>
                <w:color w:val="auto"/>
              </w:rPr>
              <w:t>his contributions fiscal year to-date; (c) in lieu of any short-term incentives for the</w:t>
            </w:r>
          </w:p>
        </w:tc>
      </w:tr>
      <w:tr>
        <w:trPr>
          <w:trHeight w:val="137"/>
        </w:trPr>
        <w:tc>
          <w:tcPr>
            <w:tcW w:w="2740" w:type="dxa"/>
            <w:vAlign w:val="bottom"/>
            <w:tcBorders>
              <w:right w:val="single" w:sz="8" w:color="63C1DF"/>
            </w:tcBorders>
          </w:tcPr>
          <w:p>
            <w:pPr>
              <w:spacing w:after="0"/>
              <w:rPr>
                <w:sz w:val="11"/>
                <w:szCs w:val="11"/>
                <w:color w:val="auto"/>
              </w:rPr>
            </w:pPr>
          </w:p>
        </w:tc>
        <w:tc>
          <w:tcPr>
            <w:tcW w:w="1420" w:type="dxa"/>
            <w:vAlign w:val="bottom"/>
            <w:tcBorders>
              <w:right w:val="single" w:sz="8" w:color="63C1DF"/>
            </w:tcBorders>
          </w:tcPr>
          <w:p>
            <w:pPr>
              <w:spacing w:after="0"/>
              <w:rPr>
                <w:sz w:val="11"/>
                <w:szCs w:val="11"/>
                <w:color w:val="auto"/>
              </w:rPr>
            </w:pPr>
          </w:p>
        </w:tc>
        <w:tc>
          <w:tcPr>
            <w:tcW w:w="4880" w:type="dxa"/>
            <w:vAlign w:val="bottom"/>
          </w:tcPr>
          <w:p>
            <w:pPr>
              <w:ind w:left="100"/>
              <w:spacing w:after="0" w:line="137" w:lineRule="exact"/>
              <w:rPr>
                <w:sz w:val="20"/>
                <w:szCs w:val="20"/>
                <w:color w:val="auto"/>
              </w:rPr>
            </w:pPr>
            <w:r>
              <w:rPr>
                <w:rFonts w:ascii="Arial" w:cs="Arial" w:eastAsia="Arial" w:hAnsi="Arial"/>
                <w:sz w:val="12"/>
                <w:szCs w:val="12"/>
                <w:color w:val="auto"/>
              </w:rPr>
              <w:t>extension period; and (d) in recognition that Mr. Burke did not receive a Fiscal Year</w:t>
            </w:r>
          </w:p>
        </w:tc>
      </w:tr>
      <w:tr>
        <w:trPr>
          <w:trHeight w:val="149"/>
        </w:trPr>
        <w:tc>
          <w:tcPr>
            <w:tcW w:w="2740" w:type="dxa"/>
            <w:vAlign w:val="bottom"/>
            <w:tcBorders>
              <w:bottom w:val="single" w:sz="8" w:color="00B2E5"/>
              <w:right w:val="single" w:sz="8" w:color="63C1DF"/>
            </w:tcBorders>
          </w:tcPr>
          <w:p>
            <w:pPr>
              <w:spacing w:after="0"/>
              <w:rPr>
                <w:sz w:val="12"/>
                <w:szCs w:val="12"/>
                <w:color w:val="auto"/>
              </w:rPr>
            </w:pPr>
          </w:p>
        </w:tc>
        <w:tc>
          <w:tcPr>
            <w:tcW w:w="1420" w:type="dxa"/>
            <w:vAlign w:val="bottom"/>
            <w:tcBorders>
              <w:bottom w:val="single" w:sz="8" w:color="00B2E5"/>
              <w:right w:val="single" w:sz="8" w:color="63C1DF"/>
            </w:tcBorders>
          </w:tcPr>
          <w:p>
            <w:pPr>
              <w:spacing w:after="0"/>
              <w:rPr>
                <w:sz w:val="12"/>
                <w:szCs w:val="12"/>
                <w:color w:val="auto"/>
              </w:rPr>
            </w:pPr>
          </w:p>
        </w:tc>
        <w:tc>
          <w:tcPr>
            <w:tcW w:w="4880" w:type="dxa"/>
            <w:vAlign w:val="bottom"/>
            <w:tcBorders>
              <w:bottom w:val="single" w:sz="8" w:color="00B2E5"/>
            </w:tcBorders>
          </w:tcPr>
          <w:p>
            <w:pPr>
              <w:ind w:left="100"/>
              <w:spacing w:after="0"/>
              <w:rPr>
                <w:sz w:val="20"/>
                <w:szCs w:val="20"/>
                <w:color w:val="auto"/>
              </w:rPr>
            </w:pPr>
            <w:r>
              <w:rPr>
                <w:rFonts w:ascii="Arial" w:cs="Arial" w:eastAsia="Arial" w:hAnsi="Arial"/>
                <w:sz w:val="12"/>
                <w:szCs w:val="12"/>
                <w:color w:val="auto"/>
              </w:rPr>
              <w:t>2020 equity grant due to his scheduled separation from the Company</w:t>
            </w:r>
          </w:p>
        </w:tc>
      </w:tr>
      <w:tr>
        <w:trPr>
          <w:trHeight w:val="135"/>
        </w:trPr>
        <w:tc>
          <w:tcPr>
            <w:tcW w:w="2740" w:type="dxa"/>
            <w:vAlign w:val="bottom"/>
            <w:tcBorders>
              <w:bottom w:val="single" w:sz="8" w:color="00B2E5"/>
              <w:right w:val="single" w:sz="8" w:color="63C1DF"/>
            </w:tcBorders>
          </w:tcPr>
          <w:p>
            <w:pPr>
              <w:ind w:left="240"/>
              <w:spacing w:after="0" w:line="135" w:lineRule="exact"/>
              <w:rPr>
                <w:sz w:val="20"/>
                <w:szCs w:val="20"/>
                <w:color w:val="auto"/>
              </w:rPr>
            </w:pPr>
            <w:r>
              <w:rPr>
                <w:rFonts w:ascii="Arial" w:cs="Arial" w:eastAsia="Arial" w:hAnsi="Arial"/>
                <w:sz w:val="12"/>
                <w:szCs w:val="12"/>
                <w:color w:val="auto"/>
              </w:rPr>
              <w:t>Post-Employment medical benefit</w:t>
            </w:r>
          </w:p>
        </w:tc>
        <w:tc>
          <w:tcPr>
            <w:tcW w:w="1420" w:type="dxa"/>
            <w:vAlign w:val="bottom"/>
            <w:tcBorders>
              <w:bottom w:val="single" w:sz="8" w:color="00B2E5"/>
              <w:right w:val="single" w:sz="8" w:color="63C1DF"/>
            </w:tcBorders>
          </w:tcPr>
          <w:p>
            <w:pPr>
              <w:jc w:val="center"/>
              <w:ind w:right="103"/>
              <w:spacing w:after="0" w:line="135" w:lineRule="exact"/>
              <w:rPr>
                <w:sz w:val="20"/>
                <w:szCs w:val="20"/>
                <w:color w:val="auto"/>
              </w:rPr>
            </w:pPr>
            <w:r>
              <w:rPr>
                <w:rFonts w:ascii="Arial" w:cs="Arial" w:eastAsia="Arial" w:hAnsi="Arial"/>
                <w:sz w:val="12"/>
                <w:szCs w:val="12"/>
                <w:color w:val="auto"/>
                <w:w w:val="99"/>
              </w:rPr>
              <w:t>$817,905</w:t>
            </w:r>
          </w:p>
        </w:tc>
        <w:tc>
          <w:tcPr>
            <w:tcW w:w="4880" w:type="dxa"/>
            <w:vAlign w:val="bottom"/>
            <w:tcBorders>
              <w:bottom w:val="single" w:sz="8" w:color="00B2E5"/>
            </w:tcBorders>
          </w:tcPr>
          <w:p>
            <w:pPr>
              <w:ind w:left="100"/>
              <w:spacing w:after="0" w:line="135" w:lineRule="exact"/>
              <w:rPr>
                <w:sz w:val="20"/>
                <w:szCs w:val="20"/>
                <w:color w:val="auto"/>
              </w:rPr>
            </w:pPr>
            <w:r>
              <w:rPr>
                <w:rFonts w:ascii="Arial" w:cs="Arial" w:eastAsia="Arial" w:hAnsi="Arial"/>
                <w:sz w:val="12"/>
                <w:szCs w:val="12"/>
                <w:color w:val="auto"/>
              </w:rPr>
              <w:t>Provided under the amended letter agreement dated May 8, 2018</w:t>
            </w:r>
          </w:p>
        </w:tc>
      </w:tr>
      <w:tr>
        <w:trPr>
          <w:trHeight w:val="135"/>
        </w:trPr>
        <w:tc>
          <w:tcPr>
            <w:tcW w:w="2740" w:type="dxa"/>
            <w:vAlign w:val="bottom"/>
            <w:tcBorders>
              <w:bottom w:val="single" w:sz="8" w:color="00B2E5"/>
              <w:right w:val="single" w:sz="8" w:color="63C1DF"/>
            </w:tcBorders>
          </w:tcPr>
          <w:p>
            <w:pPr>
              <w:ind w:left="240"/>
              <w:spacing w:after="0" w:line="135" w:lineRule="exact"/>
              <w:rPr>
                <w:sz w:val="20"/>
                <w:szCs w:val="20"/>
                <w:color w:val="auto"/>
              </w:rPr>
            </w:pPr>
            <w:r>
              <w:rPr>
                <w:rFonts w:ascii="Arial" w:cs="Arial" w:eastAsia="Arial" w:hAnsi="Arial"/>
                <w:sz w:val="12"/>
                <w:szCs w:val="12"/>
                <w:color w:val="auto"/>
              </w:rPr>
              <w:t>Accrued Personal Time Off (PTO)</w:t>
            </w:r>
          </w:p>
        </w:tc>
        <w:tc>
          <w:tcPr>
            <w:tcW w:w="1420" w:type="dxa"/>
            <w:vAlign w:val="bottom"/>
            <w:tcBorders>
              <w:bottom w:val="single" w:sz="8" w:color="00B2E5"/>
              <w:right w:val="single" w:sz="8" w:color="63C1DF"/>
            </w:tcBorders>
          </w:tcPr>
          <w:p>
            <w:pPr>
              <w:jc w:val="center"/>
              <w:ind w:right="103"/>
              <w:spacing w:after="0" w:line="135" w:lineRule="exact"/>
              <w:rPr>
                <w:sz w:val="20"/>
                <w:szCs w:val="20"/>
                <w:color w:val="auto"/>
              </w:rPr>
            </w:pPr>
            <w:r>
              <w:rPr>
                <w:rFonts w:ascii="Arial" w:cs="Arial" w:eastAsia="Arial" w:hAnsi="Arial"/>
                <w:sz w:val="12"/>
                <w:szCs w:val="12"/>
                <w:color w:val="auto"/>
                <w:w w:val="99"/>
              </w:rPr>
              <w:t>$342,241</w:t>
            </w:r>
          </w:p>
        </w:tc>
        <w:tc>
          <w:tcPr>
            <w:tcW w:w="4880" w:type="dxa"/>
            <w:vAlign w:val="bottom"/>
            <w:tcBorders>
              <w:bottom w:val="single" w:sz="8" w:color="00B2E5"/>
            </w:tcBorders>
          </w:tcPr>
          <w:p>
            <w:pPr>
              <w:ind w:left="100"/>
              <w:spacing w:after="0" w:line="135" w:lineRule="exact"/>
              <w:rPr>
                <w:sz w:val="20"/>
                <w:szCs w:val="20"/>
                <w:color w:val="auto"/>
              </w:rPr>
            </w:pPr>
            <w:r>
              <w:rPr>
                <w:rFonts w:ascii="Arial" w:cs="Arial" w:eastAsia="Arial" w:hAnsi="Arial"/>
                <w:sz w:val="12"/>
                <w:szCs w:val="12"/>
                <w:color w:val="auto"/>
              </w:rPr>
              <w:t>As required under California law</w:t>
            </w:r>
          </w:p>
        </w:tc>
      </w:tr>
      <w:tr>
        <w:trPr>
          <w:trHeight w:val="123"/>
        </w:trPr>
        <w:tc>
          <w:tcPr>
            <w:tcW w:w="2740" w:type="dxa"/>
            <w:vAlign w:val="bottom"/>
            <w:tcBorders>
              <w:right w:val="single" w:sz="8" w:color="63C1DF"/>
            </w:tcBorders>
          </w:tcPr>
          <w:p>
            <w:pPr>
              <w:ind w:left="240"/>
              <w:spacing w:after="0" w:line="124" w:lineRule="exact"/>
              <w:rPr>
                <w:sz w:val="20"/>
                <w:szCs w:val="20"/>
                <w:color w:val="auto"/>
              </w:rPr>
            </w:pPr>
            <w:r>
              <w:rPr>
                <w:rFonts w:ascii="Arial" w:cs="Arial" w:eastAsia="Arial" w:hAnsi="Arial"/>
                <w:sz w:val="12"/>
                <w:szCs w:val="12"/>
                <w:color w:val="auto"/>
              </w:rPr>
              <w:t>Reimbursement for Documented Legal</w:t>
            </w:r>
          </w:p>
        </w:tc>
        <w:tc>
          <w:tcPr>
            <w:tcW w:w="1420" w:type="dxa"/>
            <w:vAlign w:val="bottom"/>
            <w:tcBorders>
              <w:right w:val="single" w:sz="8" w:color="63C1DF"/>
            </w:tcBorders>
          </w:tcPr>
          <w:p>
            <w:pPr>
              <w:jc w:val="center"/>
              <w:ind w:right="103"/>
              <w:spacing w:after="0" w:line="124" w:lineRule="exact"/>
              <w:rPr>
                <w:sz w:val="20"/>
                <w:szCs w:val="20"/>
                <w:color w:val="auto"/>
              </w:rPr>
            </w:pPr>
            <w:r>
              <w:rPr>
                <w:rFonts w:ascii="Arial" w:cs="Arial" w:eastAsia="Arial" w:hAnsi="Arial"/>
                <w:sz w:val="12"/>
                <w:szCs w:val="12"/>
                <w:color w:val="auto"/>
                <w:w w:val="96"/>
              </w:rPr>
              <w:t>$65,000</w:t>
            </w:r>
          </w:p>
        </w:tc>
        <w:tc>
          <w:tcPr>
            <w:tcW w:w="4880" w:type="dxa"/>
            <w:vAlign w:val="bottom"/>
          </w:tcPr>
          <w:p>
            <w:pPr>
              <w:spacing w:after="0"/>
              <w:rPr>
                <w:sz w:val="10"/>
                <w:szCs w:val="10"/>
                <w:color w:val="auto"/>
              </w:rPr>
            </w:pPr>
          </w:p>
        </w:tc>
      </w:tr>
      <w:tr>
        <w:trPr>
          <w:trHeight w:val="149"/>
        </w:trPr>
        <w:tc>
          <w:tcPr>
            <w:tcW w:w="2740" w:type="dxa"/>
            <w:vAlign w:val="bottom"/>
            <w:tcBorders>
              <w:bottom w:val="single" w:sz="8" w:color="00B2E5"/>
              <w:right w:val="single" w:sz="8" w:color="63C1DF"/>
            </w:tcBorders>
          </w:tcPr>
          <w:p>
            <w:pPr>
              <w:ind w:left="340"/>
              <w:spacing w:after="0"/>
              <w:rPr>
                <w:sz w:val="20"/>
                <w:szCs w:val="20"/>
                <w:color w:val="auto"/>
              </w:rPr>
            </w:pPr>
            <w:r>
              <w:rPr>
                <w:rFonts w:ascii="Arial" w:cs="Arial" w:eastAsia="Arial" w:hAnsi="Arial"/>
                <w:sz w:val="12"/>
                <w:szCs w:val="12"/>
                <w:color w:val="auto"/>
              </w:rPr>
              <w:t>Fees</w:t>
            </w:r>
          </w:p>
        </w:tc>
        <w:tc>
          <w:tcPr>
            <w:tcW w:w="1420" w:type="dxa"/>
            <w:vAlign w:val="bottom"/>
            <w:tcBorders>
              <w:bottom w:val="single" w:sz="8" w:color="00B2E5"/>
              <w:right w:val="single" w:sz="8" w:color="63C1DF"/>
            </w:tcBorders>
          </w:tcPr>
          <w:p>
            <w:pPr>
              <w:spacing w:after="0"/>
              <w:rPr>
                <w:sz w:val="12"/>
                <w:szCs w:val="12"/>
                <w:color w:val="auto"/>
              </w:rPr>
            </w:pPr>
          </w:p>
        </w:tc>
        <w:tc>
          <w:tcPr>
            <w:tcW w:w="4880" w:type="dxa"/>
            <w:vAlign w:val="bottom"/>
            <w:tcBorders>
              <w:bottom w:val="single" w:sz="8" w:color="00B2E5"/>
            </w:tcBorders>
          </w:tcPr>
          <w:p>
            <w:pPr>
              <w:ind w:left="100"/>
              <w:spacing w:after="0"/>
              <w:rPr>
                <w:sz w:val="20"/>
                <w:szCs w:val="20"/>
                <w:color w:val="auto"/>
              </w:rPr>
            </w:pPr>
            <w:r>
              <w:rPr>
                <w:rFonts w:ascii="Arial" w:cs="Arial" w:eastAsia="Arial" w:hAnsi="Arial"/>
                <w:sz w:val="12"/>
                <w:szCs w:val="12"/>
                <w:color w:val="auto"/>
              </w:rPr>
              <w:t>Amounts provided under the Extension Letter</w:t>
            </w:r>
          </w:p>
        </w:tc>
      </w:tr>
    </w:tbl>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12"/>
          <w:szCs w:val="12"/>
          <w:u w:val="single" w:color="auto"/>
          <w:color w:val="auto"/>
        </w:rPr>
        <w:t>Security Arrangement</w:t>
      </w:r>
      <w:r>
        <w:rPr>
          <w:rFonts w:ascii="Arial" w:cs="Arial" w:eastAsia="Arial" w:hAnsi="Arial"/>
          <w:sz w:val="12"/>
          <w:szCs w:val="12"/>
          <w:color w:val="auto"/>
        </w:rPr>
        <w:t>. The Company maintained a comprehensive security program for Mr. Burke that included ground and air executive protection deemed necessary to address the Company's security requirements. In selecting the level and form of protection, the arrangement considered the security risks faced by those in the Company's industry in general and security risks specific to the Company itself and its individuals. Pursuant to this Security Arrangement, the Board required that the CEO use private air travel for purposes of security, rapid availability and communications connectivity. This program was not designed to provide a personal benefit (other than the intended security).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7" w:name="page88"/>
    <w:bookmarkEnd w:id="87"/>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Grants of Plan Based Awards for Fiscal Year 2020</w:t>
      </w:r>
    </w:p>
    <w:p>
      <w:pPr>
        <w:spacing w:after="0" w:line="150" w:lineRule="exact"/>
        <w:rPr>
          <w:sz w:val="20"/>
          <w:szCs w:val="20"/>
          <w:color w:val="auto"/>
        </w:rPr>
      </w:pPr>
    </w:p>
    <w:p>
      <w:pPr>
        <w:ind w:right="20"/>
        <w:spacing w:after="0" w:line="274" w:lineRule="auto"/>
        <w:rPr>
          <w:sz w:val="20"/>
          <w:szCs w:val="20"/>
          <w:color w:val="auto"/>
        </w:rPr>
      </w:pPr>
      <w:r>
        <w:rPr>
          <w:rFonts w:ascii="Arial" w:cs="Arial" w:eastAsia="Arial" w:hAnsi="Arial"/>
          <w:sz w:val="12"/>
          <w:szCs w:val="12"/>
          <w:color w:val="auto"/>
        </w:rPr>
        <w:t>The Compensation Committee typically considers and approves non-equity incentive targets and long-term incentive equity awards in the first quarter of each fiscal year at regular meetings. The following table sets forth information with respect to non-equity incentive targets and long-term incentive equity awards granted to NEOs during fiscal year ended September 30, 2020.</w:t>
      </w:r>
    </w:p>
    <w:p>
      <w:pPr>
        <w:spacing w:after="0" w:line="102"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91"/>
              <w:spacing w:after="0"/>
              <w:rPr>
                <w:sz w:val="20"/>
                <w:szCs w:val="20"/>
                <w:color w:val="auto"/>
              </w:rPr>
            </w:pPr>
            <w:r>
              <w:rPr>
                <w:rFonts w:ascii="Arial" w:cs="Arial" w:eastAsia="Arial" w:hAnsi="Arial"/>
                <w:sz w:val="10"/>
                <w:szCs w:val="10"/>
                <w:b w:val="1"/>
                <w:bCs w:val="1"/>
                <w:color w:val="auto"/>
              </w:rPr>
              <w:t>All Other</w:t>
            </w: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09"/>
        </w:trPr>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ind w:right="91"/>
              <w:spacing w:after="0" w:line="110" w:lineRule="exact"/>
              <w:rPr>
                <w:sz w:val="20"/>
                <w:szCs w:val="20"/>
                <w:color w:val="auto"/>
              </w:rPr>
            </w:pPr>
            <w:r>
              <w:rPr>
                <w:rFonts w:ascii="Arial" w:cs="Arial" w:eastAsia="Arial" w:hAnsi="Arial"/>
                <w:sz w:val="10"/>
                <w:szCs w:val="10"/>
                <w:b w:val="1"/>
                <w:bCs w:val="1"/>
                <w:color w:val="auto"/>
              </w:rPr>
              <w:t>Stock</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09"/>
        </w:trPr>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ind w:right="91"/>
              <w:spacing w:after="0" w:line="110" w:lineRule="exact"/>
              <w:rPr>
                <w:sz w:val="20"/>
                <w:szCs w:val="20"/>
                <w:color w:val="auto"/>
              </w:rPr>
            </w:pPr>
            <w:r>
              <w:rPr>
                <w:rFonts w:ascii="Arial" w:cs="Arial" w:eastAsia="Arial" w:hAnsi="Arial"/>
                <w:sz w:val="10"/>
                <w:szCs w:val="10"/>
                <w:b w:val="1"/>
                <w:bCs w:val="1"/>
                <w:color w:val="auto"/>
              </w:rPr>
              <w:t>Awards:</w:t>
            </w:r>
          </w:p>
        </w:tc>
        <w:tc>
          <w:tcPr>
            <w:tcW w:w="760" w:type="dxa"/>
            <w:vAlign w:val="bottom"/>
          </w:tcPr>
          <w:p>
            <w:pPr>
              <w:jc w:val="right"/>
              <w:ind w:right="71"/>
              <w:spacing w:after="0" w:line="110" w:lineRule="exact"/>
              <w:rPr>
                <w:sz w:val="20"/>
                <w:szCs w:val="20"/>
                <w:color w:val="auto"/>
              </w:rPr>
            </w:pPr>
            <w:r>
              <w:rPr>
                <w:rFonts w:ascii="Arial" w:cs="Arial" w:eastAsia="Arial" w:hAnsi="Arial"/>
                <w:sz w:val="10"/>
                <w:szCs w:val="10"/>
                <w:b w:val="1"/>
                <w:bCs w:val="1"/>
                <w:color w:val="auto"/>
              </w:rPr>
              <w:t>All Other</w:t>
            </w: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09"/>
        </w:trPr>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ind w:right="91"/>
              <w:spacing w:after="0" w:line="110" w:lineRule="exact"/>
              <w:rPr>
                <w:sz w:val="20"/>
                <w:szCs w:val="20"/>
                <w:color w:val="auto"/>
              </w:rPr>
            </w:pPr>
            <w:r>
              <w:rPr>
                <w:rFonts w:ascii="Arial" w:cs="Arial" w:eastAsia="Arial" w:hAnsi="Arial"/>
                <w:sz w:val="10"/>
                <w:szCs w:val="10"/>
                <w:b w:val="1"/>
                <w:bCs w:val="1"/>
                <w:color w:val="auto"/>
              </w:rPr>
              <w:t>Number</w:t>
            </w:r>
          </w:p>
        </w:tc>
        <w:tc>
          <w:tcPr>
            <w:tcW w:w="760" w:type="dxa"/>
            <w:vAlign w:val="bottom"/>
          </w:tcPr>
          <w:p>
            <w:pPr>
              <w:jc w:val="right"/>
              <w:ind w:right="71"/>
              <w:spacing w:after="0" w:line="110" w:lineRule="exact"/>
              <w:rPr>
                <w:sz w:val="20"/>
                <w:szCs w:val="20"/>
                <w:color w:val="auto"/>
              </w:rPr>
            </w:pPr>
            <w:r>
              <w:rPr>
                <w:rFonts w:ascii="Arial" w:cs="Arial" w:eastAsia="Arial" w:hAnsi="Arial"/>
                <w:sz w:val="10"/>
                <w:szCs w:val="10"/>
                <w:b w:val="1"/>
                <w:bCs w:val="1"/>
                <w:color w:val="auto"/>
              </w:rPr>
              <w:t>Option</w:t>
            </w:r>
          </w:p>
        </w:tc>
        <w:tc>
          <w:tcPr>
            <w:tcW w:w="640" w:type="dxa"/>
            <w:vAlign w:val="bottom"/>
          </w:tcPr>
          <w:p>
            <w:pPr>
              <w:jc w:val="right"/>
              <w:ind w:right="71"/>
              <w:spacing w:after="0" w:line="110" w:lineRule="exact"/>
              <w:rPr>
                <w:sz w:val="20"/>
                <w:szCs w:val="20"/>
                <w:color w:val="auto"/>
              </w:rPr>
            </w:pPr>
            <w:r>
              <w:rPr>
                <w:rFonts w:ascii="Arial" w:cs="Arial" w:eastAsia="Arial" w:hAnsi="Arial"/>
                <w:sz w:val="10"/>
                <w:szCs w:val="10"/>
                <w:b w:val="1"/>
                <w:bCs w:val="1"/>
                <w:color w:val="auto"/>
              </w:rPr>
              <w:t>Exercise</w:t>
            </w:r>
          </w:p>
        </w:tc>
        <w:tc>
          <w:tcPr>
            <w:tcW w:w="640" w:type="dxa"/>
            <w:vAlign w:val="bottom"/>
          </w:tcPr>
          <w:p>
            <w:pPr>
              <w:jc w:val="right"/>
              <w:spacing w:after="0" w:line="110" w:lineRule="exact"/>
              <w:rPr>
                <w:sz w:val="20"/>
                <w:szCs w:val="20"/>
                <w:color w:val="auto"/>
              </w:rPr>
            </w:pPr>
            <w:r>
              <w:rPr>
                <w:rFonts w:ascii="Arial" w:cs="Arial" w:eastAsia="Arial" w:hAnsi="Arial"/>
                <w:sz w:val="10"/>
                <w:szCs w:val="10"/>
                <w:b w:val="1"/>
                <w:bCs w:val="1"/>
                <w:color w:val="auto"/>
              </w:rPr>
              <w:t>Grant Date</w:t>
            </w:r>
          </w:p>
        </w:tc>
      </w:tr>
      <w:tr>
        <w:trPr>
          <w:trHeight w:val="109"/>
        </w:trPr>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20" w:type="dxa"/>
            <w:vAlign w:val="bottom"/>
            <w:gridSpan w:val="4"/>
          </w:tcPr>
          <w:p>
            <w:pPr>
              <w:jc w:val="center"/>
              <w:ind w:right="60"/>
              <w:spacing w:after="0" w:line="110" w:lineRule="exact"/>
              <w:rPr>
                <w:sz w:val="20"/>
                <w:szCs w:val="20"/>
                <w:color w:val="auto"/>
              </w:rPr>
            </w:pPr>
            <w:r>
              <w:rPr>
                <w:rFonts w:ascii="Arial" w:cs="Arial" w:eastAsia="Arial" w:hAnsi="Arial"/>
                <w:sz w:val="10"/>
                <w:szCs w:val="10"/>
                <w:b w:val="1"/>
                <w:bCs w:val="1"/>
                <w:color w:val="auto"/>
                <w:w w:val="97"/>
              </w:rPr>
              <w:t>Estimated Future Payouts</w:t>
            </w:r>
          </w:p>
        </w:tc>
        <w:tc>
          <w:tcPr>
            <w:tcW w:w="1760" w:type="dxa"/>
            <w:vAlign w:val="bottom"/>
            <w:gridSpan w:val="4"/>
          </w:tcPr>
          <w:p>
            <w:pPr>
              <w:jc w:val="center"/>
              <w:ind w:right="120"/>
              <w:spacing w:after="0" w:line="110" w:lineRule="exact"/>
              <w:rPr>
                <w:sz w:val="20"/>
                <w:szCs w:val="20"/>
                <w:color w:val="auto"/>
              </w:rPr>
            </w:pPr>
            <w:r>
              <w:rPr>
                <w:rFonts w:ascii="Arial" w:cs="Arial" w:eastAsia="Arial" w:hAnsi="Arial"/>
                <w:sz w:val="10"/>
                <w:szCs w:val="10"/>
                <w:b w:val="1"/>
                <w:bCs w:val="1"/>
                <w:color w:val="auto"/>
                <w:w w:val="97"/>
              </w:rPr>
              <w:t>Estimated Future Payouts</w:t>
            </w:r>
          </w:p>
        </w:tc>
        <w:tc>
          <w:tcPr>
            <w:tcW w:w="660" w:type="dxa"/>
            <w:vAlign w:val="bottom"/>
          </w:tcPr>
          <w:p>
            <w:pPr>
              <w:jc w:val="right"/>
              <w:ind w:right="91"/>
              <w:spacing w:after="0" w:line="110" w:lineRule="exact"/>
              <w:rPr>
                <w:sz w:val="20"/>
                <w:szCs w:val="20"/>
                <w:color w:val="auto"/>
              </w:rPr>
            </w:pPr>
            <w:r>
              <w:rPr>
                <w:rFonts w:ascii="Arial" w:cs="Arial" w:eastAsia="Arial" w:hAnsi="Arial"/>
                <w:sz w:val="10"/>
                <w:szCs w:val="10"/>
                <w:b w:val="1"/>
                <w:bCs w:val="1"/>
                <w:color w:val="auto"/>
              </w:rPr>
              <w:t>of</w:t>
            </w:r>
          </w:p>
        </w:tc>
        <w:tc>
          <w:tcPr>
            <w:tcW w:w="760" w:type="dxa"/>
            <w:vAlign w:val="bottom"/>
          </w:tcPr>
          <w:p>
            <w:pPr>
              <w:jc w:val="right"/>
              <w:ind w:right="71"/>
              <w:spacing w:after="0" w:line="110" w:lineRule="exact"/>
              <w:rPr>
                <w:sz w:val="20"/>
                <w:szCs w:val="20"/>
                <w:color w:val="auto"/>
              </w:rPr>
            </w:pPr>
            <w:r>
              <w:rPr>
                <w:rFonts w:ascii="Arial" w:cs="Arial" w:eastAsia="Arial" w:hAnsi="Arial"/>
                <w:sz w:val="10"/>
                <w:szCs w:val="10"/>
                <w:b w:val="1"/>
                <w:bCs w:val="1"/>
                <w:color w:val="auto"/>
              </w:rPr>
              <w:t>Awards:</w:t>
            </w:r>
          </w:p>
        </w:tc>
        <w:tc>
          <w:tcPr>
            <w:tcW w:w="640" w:type="dxa"/>
            <w:vAlign w:val="bottom"/>
          </w:tcPr>
          <w:p>
            <w:pPr>
              <w:jc w:val="right"/>
              <w:ind w:right="71"/>
              <w:spacing w:after="0" w:line="110" w:lineRule="exact"/>
              <w:rPr>
                <w:sz w:val="20"/>
                <w:szCs w:val="20"/>
                <w:color w:val="auto"/>
              </w:rPr>
            </w:pPr>
            <w:r>
              <w:rPr>
                <w:rFonts w:ascii="Arial" w:cs="Arial" w:eastAsia="Arial" w:hAnsi="Arial"/>
                <w:sz w:val="10"/>
                <w:szCs w:val="10"/>
                <w:b w:val="1"/>
                <w:bCs w:val="1"/>
                <w:color w:val="auto"/>
              </w:rPr>
              <w:t>of Base</w:t>
            </w:r>
          </w:p>
        </w:tc>
        <w:tc>
          <w:tcPr>
            <w:tcW w:w="640" w:type="dxa"/>
            <w:vAlign w:val="bottom"/>
          </w:tcPr>
          <w:p>
            <w:pPr>
              <w:jc w:val="right"/>
              <w:spacing w:after="0" w:line="110" w:lineRule="exact"/>
              <w:rPr>
                <w:sz w:val="20"/>
                <w:szCs w:val="20"/>
                <w:color w:val="auto"/>
              </w:rPr>
            </w:pPr>
            <w:r>
              <w:rPr>
                <w:rFonts w:ascii="Arial" w:cs="Arial" w:eastAsia="Arial" w:hAnsi="Arial"/>
                <w:sz w:val="10"/>
                <w:szCs w:val="10"/>
                <w:b w:val="1"/>
                <w:bCs w:val="1"/>
                <w:color w:val="auto"/>
              </w:rPr>
              <w:t>Fair Value</w:t>
            </w:r>
          </w:p>
        </w:tc>
      </w:tr>
      <w:tr>
        <w:trPr>
          <w:trHeight w:val="109"/>
        </w:trPr>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20" w:type="dxa"/>
            <w:vAlign w:val="bottom"/>
            <w:gridSpan w:val="4"/>
          </w:tcPr>
          <w:p>
            <w:pPr>
              <w:jc w:val="center"/>
              <w:ind w:right="60"/>
              <w:spacing w:after="0" w:line="110" w:lineRule="exact"/>
              <w:rPr>
                <w:sz w:val="20"/>
                <w:szCs w:val="20"/>
                <w:color w:val="auto"/>
              </w:rPr>
            </w:pPr>
            <w:r>
              <w:rPr>
                <w:rFonts w:ascii="Arial" w:cs="Arial" w:eastAsia="Arial" w:hAnsi="Arial"/>
                <w:sz w:val="10"/>
                <w:szCs w:val="10"/>
                <w:b w:val="1"/>
                <w:bCs w:val="1"/>
                <w:color w:val="auto"/>
                <w:w w:val="97"/>
              </w:rPr>
              <w:t>Under Non-Equity Incentive</w:t>
            </w:r>
          </w:p>
        </w:tc>
        <w:tc>
          <w:tcPr>
            <w:tcW w:w="1760" w:type="dxa"/>
            <w:vAlign w:val="bottom"/>
            <w:gridSpan w:val="4"/>
          </w:tcPr>
          <w:p>
            <w:pPr>
              <w:jc w:val="center"/>
              <w:ind w:right="120"/>
              <w:spacing w:after="0" w:line="110" w:lineRule="exact"/>
              <w:rPr>
                <w:sz w:val="20"/>
                <w:szCs w:val="20"/>
                <w:color w:val="auto"/>
              </w:rPr>
            </w:pPr>
            <w:r>
              <w:rPr>
                <w:rFonts w:ascii="Arial" w:cs="Arial" w:eastAsia="Arial" w:hAnsi="Arial"/>
                <w:sz w:val="10"/>
                <w:szCs w:val="10"/>
                <w:b w:val="1"/>
                <w:bCs w:val="1"/>
                <w:color w:val="auto"/>
                <w:w w:val="95"/>
              </w:rPr>
              <w:t>Under Equity Incentive</w:t>
            </w:r>
          </w:p>
        </w:tc>
        <w:tc>
          <w:tcPr>
            <w:tcW w:w="660" w:type="dxa"/>
            <w:vAlign w:val="bottom"/>
          </w:tcPr>
          <w:p>
            <w:pPr>
              <w:jc w:val="right"/>
              <w:ind w:right="91"/>
              <w:spacing w:after="0" w:line="110" w:lineRule="exact"/>
              <w:rPr>
                <w:sz w:val="20"/>
                <w:szCs w:val="20"/>
                <w:color w:val="auto"/>
              </w:rPr>
            </w:pPr>
            <w:r>
              <w:rPr>
                <w:rFonts w:ascii="Arial" w:cs="Arial" w:eastAsia="Arial" w:hAnsi="Arial"/>
                <w:sz w:val="10"/>
                <w:szCs w:val="10"/>
                <w:b w:val="1"/>
                <w:bCs w:val="1"/>
                <w:color w:val="auto"/>
              </w:rPr>
              <w:t>Shares</w:t>
            </w:r>
          </w:p>
        </w:tc>
        <w:tc>
          <w:tcPr>
            <w:tcW w:w="760" w:type="dxa"/>
            <w:vAlign w:val="bottom"/>
          </w:tcPr>
          <w:p>
            <w:pPr>
              <w:jc w:val="right"/>
              <w:ind w:right="71"/>
              <w:spacing w:after="0" w:line="110" w:lineRule="exact"/>
              <w:rPr>
                <w:sz w:val="20"/>
                <w:szCs w:val="20"/>
                <w:color w:val="auto"/>
              </w:rPr>
            </w:pPr>
            <w:r>
              <w:rPr>
                <w:rFonts w:ascii="Arial" w:cs="Arial" w:eastAsia="Arial" w:hAnsi="Arial"/>
                <w:sz w:val="10"/>
                <w:szCs w:val="10"/>
                <w:b w:val="1"/>
                <w:bCs w:val="1"/>
                <w:color w:val="auto"/>
              </w:rPr>
              <w:t>Number of</w:t>
            </w:r>
          </w:p>
        </w:tc>
        <w:tc>
          <w:tcPr>
            <w:tcW w:w="640" w:type="dxa"/>
            <w:vAlign w:val="bottom"/>
          </w:tcPr>
          <w:p>
            <w:pPr>
              <w:jc w:val="right"/>
              <w:ind w:right="71"/>
              <w:spacing w:after="0" w:line="110" w:lineRule="exact"/>
              <w:rPr>
                <w:sz w:val="20"/>
                <w:szCs w:val="20"/>
                <w:color w:val="auto"/>
              </w:rPr>
            </w:pPr>
            <w:r>
              <w:rPr>
                <w:rFonts w:ascii="Arial" w:cs="Arial" w:eastAsia="Arial" w:hAnsi="Arial"/>
                <w:sz w:val="10"/>
                <w:szCs w:val="10"/>
                <w:b w:val="1"/>
                <w:bCs w:val="1"/>
                <w:color w:val="auto"/>
              </w:rPr>
              <w:t>Price of</w:t>
            </w:r>
          </w:p>
        </w:tc>
        <w:tc>
          <w:tcPr>
            <w:tcW w:w="640" w:type="dxa"/>
            <w:vAlign w:val="bottom"/>
          </w:tcPr>
          <w:p>
            <w:pPr>
              <w:jc w:val="right"/>
              <w:spacing w:after="0" w:line="110" w:lineRule="exact"/>
              <w:rPr>
                <w:sz w:val="20"/>
                <w:szCs w:val="20"/>
                <w:color w:val="auto"/>
              </w:rPr>
            </w:pPr>
            <w:r>
              <w:rPr>
                <w:rFonts w:ascii="Arial" w:cs="Arial" w:eastAsia="Arial" w:hAnsi="Arial"/>
                <w:sz w:val="10"/>
                <w:szCs w:val="10"/>
                <w:b w:val="1"/>
                <w:bCs w:val="1"/>
                <w:color w:val="auto"/>
              </w:rPr>
              <w:t>of</w:t>
            </w:r>
          </w:p>
        </w:tc>
      </w:tr>
      <w:tr>
        <w:trPr>
          <w:trHeight w:val="118"/>
        </w:trPr>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Borders>
              <w:bottom w:val="single" w:sz="8" w:color="00B2E5"/>
            </w:tcBorders>
          </w:tcPr>
          <w:p>
            <w:pPr>
              <w:spacing w:after="0"/>
              <w:rPr>
                <w:sz w:val="10"/>
                <w:szCs w:val="10"/>
                <w:color w:val="auto"/>
              </w:rPr>
            </w:pPr>
          </w:p>
        </w:tc>
        <w:tc>
          <w:tcPr>
            <w:tcW w:w="860" w:type="dxa"/>
            <w:vAlign w:val="bottom"/>
            <w:tcBorders>
              <w:bottom w:val="single" w:sz="8" w:color="00B2E5"/>
            </w:tcBorders>
          </w:tcPr>
          <w:p>
            <w:pPr>
              <w:jc w:val="center"/>
              <w:ind w:right="31"/>
              <w:spacing w:after="0"/>
              <w:rPr>
                <w:sz w:val="20"/>
                <w:szCs w:val="20"/>
                <w:color w:val="auto"/>
              </w:rPr>
            </w:pPr>
            <w:r>
              <w:rPr>
                <w:rFonts w:ascii="Arial" w:cs="Arial" w:eastAsia="Arial" w:hAnsi="Arial"/>
                <w:sz w:val="10"/>
                <w:szCs w:val="10"/>
                <w:b w:val="1"/>
                <w:bCs w:val="1"/>
                <w:color w:val="auto"/>
                <w:w w:val="96"/>
              </w:rPr>
              <w:t>Plan Awards(1)</w:t>
            </w:r>
          </w:p>
        </w:tc>
        <w:tc>
          <w:tcPr>
            <w:tcW w:w="600" w:type="dxa"/>
            <w:vAlign w:val="bottom"/>
            <w:tcBorders>
              <w:bottom w:val="single" w:sz="8" w:color="00B2E5"/>
            </w:tcBorders>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Borders>
              <w:bottom w:val="single" w:sz="8" w:color="00B2E5"/>
            </w:tcBorders>
            <w:gridSpan w:val="2"/>
          </w:tcPr>
          <w:p>
            <w:pPr>
              <w:jc w:val="center"/>
              <w:ind w:left="311"/>
              <w:spacing w:after="0"/>
              <w:rPr>
                <w:sz w:val="20"/>
                <w:szCs w:val="20"/>
                <w:color w:val="auto"/>
              </w:rPr>
            </w:pPr>
            <w:r>
              <w:rPr>
                <w:rFonts w:ascii="Arial" w:cs="Arial" w:eastAsia="Arial" w:hAnsi="Arial"/>
                <w:sz w:val="10"/>
                <w:szCs w:val="10"/>
                <w:b w:val="1"/>
                <w:bCs w:val="1"/>
                <w:color w:val="auto"/>
                <w:w w:val="96"/>
              </w:rPr>
              <w:t>Plan Awards(2)</w:t>
            </w:r>
          </w:p>
        </w:tc>
        <w:tc>
          <w:tcPr>
            <w:tcW w:w="380" w:type="dxa"/>
            <w:vAlign w:val="bottom"/>
            <w:tcBorders>
              <w:bottom w:val="single" w:sz="8" w:color="00B2E5"/>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91"/>
              <w:spacing w:after="0"/>
              <w:rPr>
                <w:sz w:val="20"/>
                <w:szCs w:val="20"/>
                <w:color w:val="auto"/>
              </w:rPr>
            </w:pPr>
            <w:r>
              <w:rPr>
                <w:rFonts w:ascii="Arial" w:cs="Arial" w:eastAsia="Arial" w:hAnsi="Arial"/>
                <w:sz w:val="10"/>
                <w:szCs w:val="10"/>
                <w:b w:val="1"/>
                <w:bCs w:val="1"/>
                <w:color w:val="auto"/>
              </w:rPr>
              <w:t>or</w:t>
            </w:r>
          </w:p>
        </w:tc>
        <w:tc>
          <w:tcPr>
            <w:tcW w:w="760" w:type="dxa"/>
            <w:vAlign w:val="bottom"/>
          </w:tcPr>
          <w:p>
            <w:pPr>
              <w:jc w:val="right"/>
              <w:ind w:right="71"/>
              <w:spacing w:after="0"/>
              <w:rPr>
                <w:sz w:val="20"/>
                <w:szCs w:val="20"/>
                <w:color w:val="auto"/>
              </w:rPr>
            </w:pPr>
            <w:r>
              <w:rPr>
                <w:rFonts w:ascii="Arial" w:cs="Arial" w:eastAsia="Arial" w:hAnsi="Arial"/>
                <w:sz w:val="10"/>
                <w:szCs w:val="10"/>
                <w:b w:val="1"/>
                <w:bCs w:val="1"/>
                <w:color w:val="auto"/>
              </w:rPr>
              <w:t>Securities</w:t>
            </w:r>
          </w:p>
        </w:tc>
        <w:tc>
          <w:tcPr>
            <w:tcW w:w="640" w:type="dxa"/>
            <w:vAlign w:val="bottom"/>
          </w:tcPr>
          <w:p>
            <w:pPr>
              <w:jc w:val="right"/>
              <w:ind w:right="71"/>
              <w:spacing w:after="0"/>
              <w:rPr>
                <w:sz w:val="20"/>
                <w:szCs w:val="20"/>
                <w:color w:val="auto"/>
              </w:rPr>
            </w:pPr>
            <w:r>
              <w:rPr>
                <w:rFonts w:ascii="Arial" w:cs="Arial" w:eastAsia="Arial" w:hAnsi="Arial"/>
                <w:sz w:val="10"/>
                <w:szCs w:val="10"/>
                <w:b w:val="1"/>
                <w:bCs w:val="1"/>
                <w:color w:val="auto"/>
              </w:rPr>
              <w:t>Option</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Stock and</w:t>
            </w:r>
          </w:p>
        </w:tc>
      </w:tr>
      <w:tr>
        <w:trPr>
          <w:trHeight w:val="99"/>
        </w:trPr>
        <w:tc>
          <w:tcPr>
            <w:tcW w:w="1040" w:type="dxa"/>
            <w:vAlign w:val="bottom"/>
          </w:tcPr>
          <w:p>
            <w:pPr>
              <w:spacing w:after="0"/>
              <w:rPr>
                <w:sz w:val="8"/>
                <w:szCs w:val="8"/>
                <w:color w:val="auto"/>
              </w:rPr>
            </w:pPr>
          </w:p>
        </w:tc>
        <w:tc>
          <w:tcPr>
            <w:tcW w:w="640" w:type="dxa"/>
            <w:vAlign w:val="bottom"/>
          </w:tcPr>
          <w:p>
            <w:pPr>
              <w:jc w:val="right"/>
              <w:ind w:right="71"/>
              <w:spacing w:after="0" w:line="99" w:lineRule="exact"/>
              <w:rPr>
                <w:sz w:val="20"/>
                <w:szCs w:val="20"/>
                <w:color w:val="auto"/>
              </w:rPr>
            </w:pPr>
            <w:r>
              <w:rPr>
                <w:rFonts w:ascii="Arial" w:cs="Arial" w:eastAsia="Arial" w:hAnsi="Arial"/>
                <w:sz w:val="10"/>
                <w:szCs w:val="10"/>
                <w:b w:val="1"/>
                <w:bCs w:val="1"/>
                <w:color w:val="auto"/>
              </w:rPr>
              <w:t>Grant</w:t>
            </w:r>
          </w:p>
        </w:tc>
        <w:tc>
          <w:tcPr>
            <w:tcW w:w="680" w:type="dxa"/>
            <w:vAlign w:val="bottom"/>
          </w:tcPr>
          <w:p>
            <w:pPr>
              <w:jc w:val="right"/>
              <w:ind w:right="11"/>
              <w:spacing w:after="0" w:line="99" w:lineRule="exact"/>
              <w:rPr>
                <w:sz w:val="20"/>
                <w:szCs w:val="20"/>
                <w:color w:val="auto"/>
              </w:rPr>
            </w:pPr>
            <w:r>
              <w:rPr>
                <w:rFonts w:ascii="Arial" w:cs="Arial" w:eastAsia="Arial" w:hAnsi="Arial"/>
                <w:sz w:val="10"/>
                <w:szCs w:val="10"/>
                <w:b w:val="1"/>
                <w:bCs w:val="1"/>
                <w:color w:val="auto"/>
              </w:rPr>
              <w:t>Grant</w:t>
            </w:r>
          </w:p>
        </w:tc>
        <w:tc>
          <w:tcPr>
            <w:tcW w:w="700" w:type="dxa"/>
            <w:vAlign w:val="bottom"/>
          </w:tcPr>
          <w:p>
            <w:pPr>
              <w:jc w:val="right"/>
              <w:spacing w:after="0" w:line="99" w:lineRule="exact"/>
              <w:rPr>
                <w:sz w:val="20"/>
                <w:szCs w:val="20"/>
                <w:color w:val="auto"/>
              </w:rPr>
            </w:pPr>
            <w:r>
              <w:rPr>
                <w:rFonts w:ascii="Arial" w:cs="Arial" w:eastAsia="Arial" w:hAnsi="Arial"/>
                <w:sz w:val="10"/>
                <w:szCs w:val="10"/>
                <w:b w:val="1"/>
                <w:bCs w:val="1"/>
                <w:color w:val="auto"/>
              </w:rPr>
              <w:t>Threshold</w:t>
            </w:r>
          </w:p>
        </w:tc>
        <w:tc>
          <w:tcPr>
            <w:tcW w:w="860" w:type="dxa"/>
            <w:vAlign w:val="bottom"/>
          </w:tcPr>
          <w:p>
            <w:pPr>
              <w:jc w:val="right"/>
              <w:ind w:right="91"/>
              <w:spacing w:after="0" w:line="99" w:lineRule="exact"/>
              <w:rPr>
                <w:sz w:val="20"/>
                <w:szCs w:val="20"/>
                <w:color w:val="auto"/>
              </w:rPr>
            </w:pPr>
            <w:r>
              <w:rPr>
                <w:rFonts w:ascii="Arial" w:cs="Arial" w:eastAsia="Arial" w:hAnsi="Arial"/>
                <w:sz w:val="10"/>
                <w:szCs w:val="10"/>
                <w:b w:val="1"/>
                <w:bCs w:val="1"/>
                <w:color w:val="auto"/>
              </w:rPr>
              <w:t>Target</w:t>
            </w:r>
          </w:p>
        </w:tc>
        <w:tc>
          <w:tcPr>
            <w:tcW w:w="600" w:type="dxa"/>
            <w:vAlign w:val="bottom"/>
          </w:tcPr>
          <w:p>
            <w:pPr>
              <w:ind w:left="380"/>
              <w:spacing w:after="0" w:line="99" w:lineRule="exact"/>
              <w:rPr>
                <w:sz w:val="20"/>
                <w:szCs w:val="20"/>
                <w:color w:val="auto"/>
              </w:rPr>
            </w:pPr>
            <w:r>
              <w:rPr>
                <w:rFonts w:ascii="Arial" w:cs="Arial" w:eastAsia="Arial" w:hAnsi="Arial"/>
                <w:sz w:val="10"/>
                <w:szCs w:val="10"/>
                <w:b w:val="1"/>
                <w:bCs w:val="1"/>
                <w:color w:val="auto"/>
                <w:w w:val="89"/>
              </w:rPr>
              <w:t>Max.</w:t>
            </w:r>
          </w:p>
        </w:tc>
        <w:tc>
          <w:tcPr>
            <w:tcW w:w="60" w:type="dxa"/>
            <w:vAlign w:val="bottom"/>
          </w:tcPr>
          <w:p>
            <w:pPr>
              <w:spacing w:after="0"/>
              <w:rPr>
                <w:sz w:val="8"/>
                <w:szCs w:val="8"/>
                <w:color w:val="auto"/>
              </w:rPr>
            </w:pPr>
          </w:p>
        </w:tc>
        <w:tc>
          <w:tcPr>
            <w:tcW w:w="760" w:type="dxa"/>
            <w:vAlign w:val="bottom"/>
          </w:tcPr>
          <w:p>
            <w:pPr>
              <w:jc w:val="right"/>
              <w:ind w:right="51"/>
              <w:spacing w:after="0" w:line="99" w:lineRule="exact"/>
              <w:rPr>
                <w:sz w:val="20"/>
                <w:szCs w:val="20"/>
                <w:color w:val="auto"/>
              </w:rPr>
            </w:pPr>
            <w:r>
              <w:rPr>
                <w:rFonts w:ascii="Arial" w:cs="Arial" w:eastAsia="Arial" w:hAnsi="Arial"/>
                <w:sz w:val="10"/>
                <w:szCs w:val="10"/>
                <w:b w:val="1"/>
                <w:bCs w:val="1"/>
                <w:color w:val="auto"/>
              </w:rPr>
              <w:t>Threshold</w:t>
            </w:r>
          </w:p>
        </w:tc>
        <w:tc>
          <w:tcPr>
            <w:tcW w:w="500" w:type="dxa"/>
            <w:vAlign w:val="bottom"/>
          </w:tcPr>
          <w:p>
            <w:pPr>
              <w:jc w:val="right"/>
              <w:ind w:right="71"/>
              <w:spacing w:after="0" w:line="99" w:lineRule="exact"/>
              <w:rPr>
                <w:sz w:val="20"/>
                <w:szCs w:val="20"/>
                <w:color w:val="auto"/>
              </w:rPr>
            </w:pPr>
            <w:r>
              <w:rPr>
                <w:rFonts w:ascii="Arial" w:cs="Arial" w:eastAsia="Arial" w:hAnsi="Arial"/>
                <w:sz w:val="10"/>
                <w:szCs w:val="10"/>
                <w:b w:val="1"/>
                <w:bCs w:val="1"/>
                <w:color w:val="auto"/>
              </w:rPr>
              <w:t>Target</w:t>
            </w:r>
          </w:p>
        </w:tc>
        <w:tc>
          <w:tcPr>
            <w:tcW w:w="380" w:type="dxa"/>
            <w:vAlign w:val="bottom"/>
          </w:tcPr>
          <w:p>
            <w:pPr>
              <w:jc w:val="right"/>
              <w:spacing w:after="0" w:line="99" w:lineRule="exact"/>
              <w:rPr>
                <w:sz w:val="20"/>
                <w:szCs w:val="20"/>
                <w:color w:val="auto"/>
              </w:rPr>
            </w:pPr>
            <w:r>
              <w:rPr>
                <w:rFonts w:ascii="Arial" w:cs="Arial" w:eastAsia="Arial" w:hAnsi="Arial"/>
                <w:sz w:val="10"/>
                <w:szCs w:val="10"/>
                <w:b w:val="1"/>
                <w:bCs w:val="1"/>
                <w:color w:val="auto"/>
              </w:rPr>
              <w:t>Max.</w:t>
            </w:r>
          </w:p>
        </w:tc>
        <w:tc>
          <w:tcPr>
            <w:tcW w:w="120" w:type="dxa"/>
            <w:vAlign w:val="bottom"/>
          </w:tcPr>
          <w:p>
            <w:pPr>
              <w:spacing w:after="0"/>
              <w:rPr>
                <w:sz w:val="8"/>
                <w:szCs w:val="8"/>
                <w:color w:val="auto"/>
              </w:rPr>
            </w:pPr>
          </w:p>
        </w:tc>
        <w:tc>
          <w:tcPr>
            <w:tcW w:w="660" w:type="dxa"/>
            <w:vAlign w:val="bottom"/>
          </w:tcPr>
          <w:p>
            <w:pPr>
              <w:jc w:val="right"/>
              <w:ind w:right="91"/>
              <w:spacing w:after="0" w:line="99" w:lineRule="exact"/>
              <w:rPr>
                <w:sz w:val="20"/>
                <w:szCs w:val="20"/>
                <w:color w:val="auto"/>
              </w:rPr>
            </w:pPr>
            <w:r>
              <w:rPr>
                <w:rFonts w:ascii="Arial" w:cs="Arial" w:eastAsia="Arial" w:hAnsi="Arial"/>
                <w:sz w:val="10"/>
                <w:szCs w:val="10"/>
                <w:b w:val="1"/>
                <w:bCs w:val="1"/>
                <w:color w:val="auto"/>
              </w:rPr>
              <w:t>Stock/</w:t>
            </w:r>
          </w:p>
        </w:tc>
        <w:tc>
          <w:tcPr>
            <w:tcW w:w="760" w:type="dxa"/>
            <w:vAlign w:val="bottom"/>
          </w:tcPr>
          <w:p>
            <w:pPr>
              <w:jc w:val="right"/>
              <w:ind w:right="71"/>
              <w:spacing w:after="0" w:line="99" w:lineRule="exact"/>
              <w:rPr>
                <w:sz w:val="20"/>
                <w:szCs w:val="20"/>
                <w:color w:val="auto"/>
              </w:rPr>
            </w:pPr>
            <w:r>
              <w:rPr>
                <w:rFonts w:ascii="Arial" w:cs="Arial" w:eastAsia="Arial" w:hAnsi="Arial"/>
                <w:sz w:val="10"/>
                <w:szCs w:val="10"/>
                <w:b w:val="1"/>
                <w:bCs w:val="1"/>
                <w:color w:val="auto"/>
              </w:rPr>
              <w:t>Underlying</w:t>
            </w:r>
          </w:p>
        </w:tc>
        <w:tc>
          <w:tcPr>
            <w:tcW w:w="640" w:type="dxa"/>
            <w:vAlign w:val="bottom"/>
          </w:tcPr>
          <w:p>
            <w:pPr>
              <w:jc w:val="right"/>
              <w:ind w:right="71"/>
              <w:spacing w:after="0" w:line="99" w:lineRule="exact"/>
              <w:rPr>
                <w:sz w:val="20"/>
                <w:szCs w:val="20"/>
                <w:color w:val="auto"/>
              </w:rPr>
            </w:pPr>
            <w:r>
              <w:rPr>
                <w:rFonts w:ascii="Arial" w:cs="Arial" w:eastAsia="Arial" w:hAnsi="Arial"/>
                <w:sz w:val="10"/>
                <w:szCs w:val="10"/>
                <w:b w:val="1"/>
                <w:bCs w:val="1"/>
                <w:color w:val="auto"/>
              </w:rPr>
              <w:t>Awards</w:t>
            </w:r>
          </w:p>
        </w:tc>
        <w:tc>
          <w:tcPr>
            <w:tcW w:w="640" w:type="dxa"/>
            <w:vAlign w:val="bottom"/>
          </w:tcPr>
          <w:p>
            <w:pPr>
              <w:jc w:val="right"/>
              <w:spacing w:after="0" w:line="99" w:lineRule="exact"/>
              <w:rPr>
                <w:sz w:val="20"/>
                <w:szCs w:val="20"/>
                <w:color w:val="auto"/>
              </w:rPr>
            </w:pPr>
            <w:r>
              <w:rPr>
                <w:rFonts w:ascii="Arial" w:cs="Arial" w:eastAsia="Arial" w:hAnsi="Arial"/>
                <w:sz w:val="10"/>
                <w:szCs w:val="10"/>
                <w:b w:val="1"/>
                <w:bCs w:val="1"/>
                <w:color w:val="auto"/>
              </w:rPr>
              <w:t>Option</w:t>
            </w:r>
          </w:p>
        </w:tc>
      </w:tr>
      <w:tr>
        <w:trPr>
          <w:trHeight w:val="118"/>
        </w:trPr>
        <w:tc>
          <w:tcPr>
            <w:tcW w:w="1040" w:type="dxa"/>
            <w:vAlign w:val="bottom"/>
            <w:tcBorders>
              <w:bottom w:val="single" w:sz="8" w:color="00B2E5"/>
            </w:tcBorders>
          </w:tcPr>
          <w:p>
            <w:pPr>
              <w:spacing w:after="0"/>
              <w:rPr>
                <w:sz w:val="20"/>
                <w:szCs w:val="20"/>
                <w:color w:val="auto"/>
              </w:rPr>
            </w:pPr>
            <w:r>
              <w:rPr>
                <w:rFonts w:ascii="Arial" w:cs="Arial" w:eastAsia="Arial" w:hAnsi="Arial"/>
                <w:sz w:val="10"/>
                <w:szCs w:val="10"/>
                <w:b w:val="1"/>
                <w:bCs w:val="1"/>
                <w:color w:val="auto"/>
              </w:rPr>
              <w:t>Name</w:t>
            </w:r>
          </w:p>
        </w:tc>
        <w:tc>
          <w:tcPr>
            <w:tcW w:w="640" w:type="dxa"/>
            <w:vAlign w:val="bottom"/>
            <w:tcBorders>
              <w:bottom w:val="single" w:sz="8" w:color="00B2E5"/>
            </w:tcBorders>
          </w:tcPr>
          <w:p>
            <w:pPr>
              <w:jc w:val="right"/>
              <w:ind w:right="71"/>
              <w:spacing w:after="0"/>
              <w:rPr>
                <w:sz w:val="20"/>
                <w:szCs w:val="20"/>
                <w:color w:val="auto"/>
              </w:rPr>
            </w:pPr>
            <w:r>
              <w:rPr>
                <w:rFonts w:ascii="Arial" w:cs="Arial" w:eastAsia="Arial" w:hAnsi="Arial"/>
                <w:sz w:val="10"/>
                <w:szCs w:val="10"/>
                <w:b w:val="1"/>
                <w:bCs w:val="1"/>
                <w:color w:val="auto"/>
              </w:rPr>
              <w:t>Type</w:t>
            </w:r>
          </w:p>
        </w:tc>
        <w:tc>
          <w:tcPr>
            <w:tcW w:w="680" w:type="dxa"/>
            <w:vAlign w:val="bottom"/>
            <w:tcBorders>
              <w:bottom w:val="single" w:sz="8" w:color="00B2E5"/>
            </w:tcBorders>
          </w:tcPr>
          <w:p>
            <w:pPr>
              <w:jc w:val="right"/>
              <w:ind w:right="11"/>
              <w:spacing w:after="0"/>
              <w:rPr>
                <w:sz w:val="20"/>
                <w:szCs w:val="20"/>
                <w:color w:val="auto"/>
              </w:rPr>
            </w:pPr>
            <w:r>
              <w:rPr>
                <w:rFonts w:ascii="Arial" w:cs="Arial" w:eastAsia="Arial" w:hAnsi="Arial"/>
                <w:sz w:val="10"/>
                <w:szCs w:val="10"/>
                <w:b w:val="1"/>
                <w:bCs w:val="1"/>
                <w:color w:val="auto"/>
              </w:rPr>
              <w:t>Date</w:t>
            </w:r>
          </w:p>
        </w:tc>
        <w:tc>
          <w:tcPr>
            <w:tcW w:w="700" w:type="dxa"/>
            <w:vAlign w:val="bottom"/>
            <w:tcBorders>
              <w:bottom w:val="single" w:sz="8" w:color="00B2E5"/>
            </w:tcBorders>
          </w:tcPr>
          <w:p>
            <w:pPr>
              <w:jc w:val="right"/>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00B2E5"/>
            </w:tcBorders>
          </w:tcPr>
          <w:p>
            <w:pPr>
              <w:jc w:val="right"/>
              <w:ind w:right="91"/>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00B2E5"/>
            </w:tcBorders>
            <w:gridSpan w:val="2"/>
          </w:tcPr>
          <w:p>
            <w:pPr>
              <w:jc w:val="right"/>
              <w:ind w:right="60"/>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00B2E5"/>
            </w:tcBorders>
          </w:tcPr>
          <w:p>
            <w:pPr>
              <w:jc w:val="right"/>
              <w:ind w:right="51"/>
              <w:spacing w:after="0"/>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00B2E5"/>
            </w:tcBorders>
          </w:tcPr>
          <w:p>
            <w:pPr>
              <w:jc w:val="right"/>
              <w:ind w:right="71"/>
              <w:spacing w:after="0"/>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00B2E5"/>
            </w:tcBorders>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00B2E5"/>
            </w:tcBorders>
          </w:tcPr>
          <w:p>
            <w:pPr>
              <w:jc w:val="right"/>
              <w:ind w:right="91"/>
              <w:spacing w:after="0"/>
              <w:rPr>
                <w:sz w:val="20"/>
                <w:szCs w:val="20"/>
                <w:color w:val="auto"/>
              </w:rPr>
            </w:pPr>
            <w:r>
              <w:rPr>
                <w:rFonts w:ascii="Arial" w:cs="Arial" w:eastAsia="Arial" w:hAnsi="Arial"/>
                <w:sz w:val="10"/>
                <w:szCs w:val="10"/>
                <w:b w:val="1"/>
                <w:bCs w:val="1"/>
                <w:color w:val="auto"/>
              </w:rPr>
              <w:t>Units</w:t>
            </w:r>
          </w:p>
        </w:tc>
        <w:tc>
          <w:tcPr>
            <w:tcW w:w="760" w:type="dxa"/>
            <w:vAlign w:val="bottom"/>
            <w:tcBorders>
              <w:bottom w:val="single" w:sz="8" w:color="00B2E5"/>
            </w:tcBorders>
          </w:tcPr>
          <w:p>
            <w:pPr>
              <w:jc w:val="right"/>
              <w:ind w:right="71"/>
              <w:spacing w:after="0"/>
              <w:rPr>
                <w:sz w:val="20"/>
                <w:szCs w:val="20"/>
                <w:color w:val="auto"/>
              </w:rPr>
            </w:pPr>
            <w:r>
              <w:rPr>
                <w:rFonts w:ascii="Arial" w:cs="Arial" w:eastAsia="Arial" w:hAnsi="Arial"/>
                <w:sz w:val="10"/>
                <w:szCs w:val="10"/>
                <w:b w:val="1"/>
                <w:bCs w:val="1"/>
                <w:color w:val="auto"/>
              </w:rPr>
              <w:t>Options</w:t>
            </w:r>
          </w:p>
        </w:tc>
        <w:tc>
          <w:tcPr>
            <w:tcW w:w="640" w:type="dxa"/>
            <w:vAlign w:val="bottom"/>
            <w:tcBorders>
              <w:bottom w:val="single" w:sz="8" w:color="00B2E5"/>
            </w:tcBorders>
          </w:tcPr>
          <w:p>
            <w:pPr>
              <w:jc w:val="right"/>
              <w:ind w:right="71"/>
              <w:spacing w:after="0"/>
              <w:rPr>
                <w:sz w:val="20"/>
                <w:szCs w:val="20"/>
                <w:color w:val="auto"/>
              </w:rPr>
            </w:pPr>
            <w:r>
              <w:rPr>
                <w:rFonts w:ascii="Arial" w:cs="Arial" w:eastAsia="Arial" w:hAnsi="Arial"/>
                <w:sz w:val="10"/>
                <w:szCs w:val="10"/>
                <w:b w:val="1"/>
                <w:bCs w:val="1"/>
                <w:color w:val="auto"/>
              </w:rPr>
              <w:t>($/Sh)</w:t>
            </w:r>
          </w:p>
        </w:tc>
        <w:tc>
          <w:tcPr>
            <w:tcW w:w="640" w:type="dxa"/>
            <w:vAlign w:val="bottom"/>
            <w:tcBorders>
              <w:bottom w:val="single" w:sz="8" w:color="00B2E5"/>
            </w:tcBorders>
          </w:tcPr>
          <w:p>
            <w:pPr>
              <w:jc w:val="right"/>
              <w:spacing w:after="0"/>
              <w:rPr>
                <w:sz w:val="20"/>
                <w:szCs w:val="20"/>
                <w:color w:val="auto"/>
              </w:rPr>
            </w:pPr>
            <w:r>
              <w:rPr>
                <w:rFonts w:ascii="Arial" w:cs="Arial" w:eastAsia="Arial" w:hAnsi="Arial"/>
                <w:sz w:val="10"/>
                <w:szCs w:val="10"/>
                <w:b w:val="1"/>
                <w:bCs w:val="1"/>
                <w:color w:val="auto"/>
              </w:rPr>
              <w:t>Awards(3)</w:t>
            </w:r>
          </w:p>
        </w:tc>
      </w:tr>
      <w:tr>
        <w:trPr>
          <w:trHeight w:val="128"/>
        </w:trPr>
        <w:tc>
          <w:tcPr>
            <w:tcW w:w="1040" w:type="dxa"/>
            <w:vAlign w:val="bottom"/>
          </w:tcPr>
          <w:p>
            <w:pPr>
              <w:spacing w:after="0"/>
              <w:rPr>
                <w:sz w:val="20"/>
                <w:szCs w:val="20"/>
                <w:color w:val="auto"/>
              </w:rPr>
            </w:pPr>
            <w:r>
              <w:rPr>
                <w:rFonts w:ascii="Arial" w:cs="Arial" w:eastAsia="Arial" w:hAnsi="Arial"/>
                <w:sz w:val="10"/>
                <w:szCs w:val="10"/>
                <w:color w:val="auto"/>
              </w:rPr>
              <w:t>W. Troy Rudd</w:t>
            </w:r>
          </w:p>
        </w:tc>
        <w:tc>
          <w:tcPr>
            <w:tcW w:w="640" w:type="dxa"/>
            <w:vAlign w:val="bottom"/>
          </w:tcPr>
          <w:p>
            <w:pPr>
              <w:jc w:val="center"/>
              <w:spacing w:after="0"/>
              <w:rPr>
                <w:sz w:val="20"/>
                <w:szCs w:val="20"/>
                <w:color w:val="auto"/>
              </w:rPr>
            </w:pPr>
            <w:r>
              <w:rPr>
                <w:rFonts w:ascii="Arial" w:cs="Arial" w:eastAsia="Arial" w:hAnsi="Arial"/>
                <w:sz w:val="10"/>
                <w:szCs w:val="10"/>
                <w:color w:val="auto"/>
              </w:rPr>
              <w:t>STI</w:t>
            </w:r>
          </w:p>
        </w:tc>
        <w:tc>
          <w:tcPr>
            <w:tcW w:w="6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$775,000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$1,550,000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137"/>
        </w:trPr>
        <w:tc>
          <w:tcPr>
            <w:tcW w:w="104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0"/>
                <w:szCs w:val="10"/>
                <w:color w:val="auto"/>
                <w:w w:val="99"/>
              </w:rPr>
              <w:t>PEP</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12/16/2019</w:t>
            </w: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0</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34,836</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69,672</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$1,500,038</w:t>
            </w:r>
          </w:p>
        </w:tc>
      </w:tr>
      <w:tr>
        <w:trPr>
          <w:trHeight w:val="146"/>
        </w:trPr>
        <w:tc>
          <w:tcPr>
            <w:tcW w:w="10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0"/>
                <w:szCs w:val="10"/>
                <w:color w:val="auto"/>
                <w:w w:val="94"/>
              </w:rPr>
              <w:t>RSU</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12/16/2019</w:t>
            </w: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23,224</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$1,000,025</w:t>
            </w:r>
          </w:p>
        </w:tc>
      </w:tr>
      <w:tr>
        <w:trPr>
          <w:trHeight w:val="146"/>
        </w:trPr>
        <w:tc>
          <w:tcPr>
            <w:tcW w:w="10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0"/>
                <w:szCs w:val="10"/>
                <w:color w:val="auto"/>
                <w:w w:val="94"/>
              </w:rPr>
              <w:t>RSU</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8/15/2020</w:t>
            </w: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49,071</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$1,900,000</w:t>
            </w:r>
          </w:p>
        </w:tc>
      </w:tr>
      <w:tr>
        <w:trPr>
          <w:trHeight w:val="125"/>
        </w:trPr>
        <w:tc>
          <w:tcPr>
            <w:tcW w:w="104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0"/>
                <w:szCs w:val="10"/>
                <w:color w:val="auto"/>
              </w:rPr>
              <w:t>NQ</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8/15/2020</w:t>
            </w: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265,487</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38.72</w:t>
            </w:r>
          </w:p>
        </w:tc>
        <w:tc>
          <w:tcPr>
            <w:tcW w:w="640" w:type="dxa"/>
            <w:vAlign w:val="bottom"/>
          </w:tcPr>
          <w:p>
            <w:pPr>
              <w:jc w:val="right"/>
              <w:spacing w:after="0"/>
              <w:rPr>
                <w:sz w:val="20"/>
                <w:szCs w:val="20"/>
                <w:color w:val="auto"/>
              </w:rPr>
            </w:pPr>
            <w:r>
              <w:rPr>
                <w:rFonts w:ascii="Arial" w:cs="Arial" w:eastAsia="Arial" w:hAnsi="Arial"/>
                <w:sz w:val="10"/>
                <w:szCs w:val="10"/>
                <w:color w:val="auto"/>
              </w:rPr>
              <w:t>$3,000,003</w:t>
            </w:r>
          </w:p>
        </w:tc>
      </w:tr>
      <w:tr>
        <w:trPr>
          <w:trHeight w:val="130"/>
        </w:trPr>
        <w:tc>
          <w:tcPr>
            <w:tcW w:w="1040" w:type="dxa"/>
            <w:vAlign w:val="bottom"/>
          </w:tcPr>
          <w:p>
            <w:pPr>
              <w:spacing w:after="0"/>
              <w:rPr>
                <w:sz w:val="20"/>
                <w:szCs w:val="20"/>
                <w:color w:val="auto"/>
              </w:rPr>
            </w:pPr>
            <w:r>
              <w:rPr>
                <w:rFonts w:ascii="Arial" w:cs="Arial" w:eastAsia="Arial" w:hAnsi="Arial"/>
                <w:sz w:val="10"/>
                <w:szCs w:val="10"/>
                <w:color w:val="auto"/>
              </w:rPr>
              <w:t>Gaurav Kapoor</w:t>
            </w:r>
          </w:p>
        </w:tc>
        <w:tc>
          <w:tcPr>
            <w:tcW w:w="640" w:type="dxa"/>
            <w:vAlign w:val="bottom"/>
          </w:tcPr>
          <w:p>
            <w:pPr>
              <w:jc w:val="center"/>
              <w:spacing w:after="0"/>
              <w:rPr>
                <w:sz w:val="20"/>
                <w:szCs w:val="20"/>
                <w:color w:val="auto"/>
              </w:rPr>
            </w:pPr>
            <w:r>
              <w:rPr>
                <w:rFonts w:ascii="Arial" w:cs="Arial" w:eastAsia="Arial" w:hAnsi="Arial"/>
                <w:sz w:val="10"/>
                <w:szCs w:val="10"/>
                <w:color w:val="auto"/>
              </w:rPr>
              <w:t>STI</w:t>
            </w:r>
          </w:p>
        </w:tc>
        <w:tc>
          <w:tcPr>
            <w:tcW w:w="6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$346,500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$693,000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146"/>
        </w:trPr>
        <w:tc>
          <w:tcPr>
            <w:tcW w:w="10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0"/>
                <w:szCs w:val="10"/>
                <w:color w:val="auto"/>
                <w:w w:val="99"/>
              </w:rPr>
              <w:t>PEP</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12/16/2019</w:t>
            </w: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0</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6,968</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13,936</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$300,042</w:t>
            </w:r>
          </w:p>
        </w:tc>
      </w:tr>
      <w:tr>
        <w:trPr>
          <w:trHeight w:val="125"/>
        </w:trPr>
        <w:tc>
          <w:tcPr>
            <w:tcW w:w="104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0"/>
                <w:szCs w:val="10"/>
                <w:color w:val="auto"/>
                <w:w w:val="94"/>
              </w:rPr>
              <w:t>RSU</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12/16/2019</w:t>
            </w: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6,968</w:t>
            </w: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$300,042</w:t>
            </w:r>
          </w:p>
        </w:tc>
      </w:tr>
      <w:tr>
        <w:trPr>
          <w:trHeight w:val="130"/>
        </w:trPr>
        <w:tc>
          <w:tcPr>
            <w:tcW w:w="1040" w:type="dxa"/>
            <w:vAlign w:val="bottom"/>
          </w:tcPr>
          <w:p>
            <w:pPr>
              <w:spacing w:after="0"/>
              <w:rPr>
                <w:sz w:val="20"/>
                <w:szCs w:val="20"/>
                <w:color w:val="auto"/>
              </w:rPr>
            </w:pPr>
            <w:r>
              <w:rPr>
                <w:rFonts w:ascii="Arial" w:cs="Arial" w:eastAsia="Arial" w:hAnsi="Arial"/>
                <w:sz w:val="10"/>
                <w:szCs w:val="10"/>
                <w:color w:val="auto"/>
              </w:rPr>
              <w:t>Lara Poloni</w:t>
            </w:r>
          </w:p>
        </w:tc>
        <w:tc>
          <w:tcPr>
            <w:tcW w:w="640" w:type="dxa"/>
            <w:vAlign w:val="bottom"/>
          </w:tcPr>
          <w:p>
            <w:pPr>
              <w:jc w:val="center"/>
              <w:spacing w:after="0"/>
              <w:rPr>
                <w:sz w:val="20"/>
                <w:szCs w:val="20"/>
                <w:color w:val="auto"/>
              </w:rPr>
            </w:pPr>
            <w:r>
              <w:rPr>
                <w:rFonts w:ascii="Arial" w:cs="Arial" w:eastAsia="Arial" w:hAnsi="Arial"/>
                <w:sz w:val="10"/>
                <w:szCs w:val="10"/>
                <w:color w:val="auto"/>
              </w:rPr>
              <w:t>STI</w:t>
            </w:r>
          </w:p>
        </w:tc>
        <w:tc>
          <w:tcPr>
            <w:tcW w:w="6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$625,000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$1,250,000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146"/>
        </w:trPr>
        <w:tc>
          <w:tcPr>
            <w:tcW w:w="10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0"/>
                <w:szCs w:val="10"/>
                <w:color w:val="auto"/>
                <w:w w:val="99"/>
              </w:rPr>
              <w:t>PEP</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12/16/2019</w:t>
            </w: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0</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13,935</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27,870</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$600,041</w:t>
            </w:r>
          </w:p>
        </w:tc>
      </w:tr>
      <w:tr>
        <w:trPr>
          <w:trHeight w:val="146"/>
        </w:trPr>
        <w:tc>
          <w:tcPr>
            <w:tcW w:w="10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0"/>
                <w:szCs w:val="10"/>
                <w:color w:val="auto"/>
                <w:w w:val="94"/>
              </w:rPr>
              <w:t>RSU</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12/16/2019</w:t>
            </w: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9,290</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$400,027</w:t>
            </w:r>
          </w:p>
        </w:tc>
      </w:tr>
      <w:tr>
        <w:trPr>
          <w:trHeight w:val="125"/>
        </w:trPr>
        <w:tc>
          <w:tcPr>
            <w:tcW w:w="104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0"/>
                <w:szCs w:val="10"/>
                <w:color w:val="auto"/>
                <w:w w:val="94"/>
              </w:rPr>
              <w:t>RSU</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8/15/2020</w:t>
            </w: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17,821</w:t>
            </w: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$690,019</w:t>
            </w:r>
          </w:p>
        </w:tc>
      </w:tr>
      <w:tr>
        <w:trPr>
          <w:trHeight w:val="130"/>
        </w:trPr>
        <w:tc>
          <w:tcPr>
            <w:tcW w:w="1040" w:type="dxa"/>
            <w:vAlign w:val="bottom"/>
          </w:tcPr>
          <w:p>
            <w:pPr>
              <w:spacing w:after="0"/>
              <w:rPr>
                <w:sz w:val="20"/>
                <w:szCs w:val="20"/>
                <w:color w:val="auto"/>
              </w:rPr>
            </w:pPr>
            <w:r>
              <w:rPr>
                <w:rFonts w:ascii="Arial" w:cs="Arial" w:eastAsia="Arial" w:hAnsi="Arial"/>
                <w:sz w:val="10"/>
                <w:szCs w:val="10"/>
                <w:color w:val="auto"/>
              </w:rPr>
              <w:t>Randall A. Wotring</w:t>
            </w:r>
          </w:p>
        </w:tc>
        <w:tc>
          <w:tcPr>
            <w:tcW w:w="640" w:type="dxa"/>
            <w:vAlign w:val="bottom"/>
          </w:tcPr>
          <w:p>
            <w:pPr>
              <w:jc w:val="center"/>
              <w:spacing w:after="0"/>
              <w:rPr>
                <w:sz w:val="20"/>
                <w:szCs w:val="20"/>
                <w:color w:val="auto"/>
              </w:rPr>
            </w:pPr>
            <w:r>
              <w:rPr>
                <w:rFonts w:ascii="Arial" w:cs="Arial" w:eastAsia="Arial" w:hAnsi="Arial"/>
                <w:sz w:val="10"/>
                <w:szCs w:val="10"/>
                <w:color w:val="auto"/>
              </w:rPr>
              <w:t>STI</w:t>
            </w:r>
          </w:p>
        </w:tc>
        <w:tc>
          <w:tcPr>
            <w:tcW w:w="6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$875,000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$1,750,000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146"/>
        </w:trPr>
        <w:tc>
          <w:tcPr>
            <w:tcW w:w="10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0"/>
                <w:szCs w:val="10"/>
                <w:color w:val="auto"/>
                <w:w w:val="99"/>
              </w:rPr>
              <w:t>PEP</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12/16/2019</w:t>
            </w: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0</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38,319</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76,638</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$1,650,016</w:t>
            </w:r>
          </w:p>
        </w:tc>
      </w:tr>
      <w:tr>
        <w:trPr>
          <w:trHeight w:val="125"/>
        </w:trPr>
        <w:tc>
          <w:tcPr>
            <w:tcW w:w="104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0"/>
                <w:szCs w:val="10"/>
                <w:color w:val="auto"/>
                <w:w w:val="94"/>
              </w:rPr>
              <w:t>RSU</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12/16/2019</w:t>
            </w: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25,546</w:t>
            </w: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$1,100,011</w:t>
            </w:r>
          </w:p>
        </w:tc>
      </w:tr>
      <w:tr>
        <w:trPr>
          <w:trHeight w:val="130"/>
        </w:trPr>
        <w:tc>
          <w:tcPr>
            <w:tcW w:w="1040" w:type="dxa"/>
            <w:vAlign w:val="bottom"/>
          </w:tcPr>
          <w:p>
            <w:pPr>
              <w:spacing w:after="0"/>
              <w:rPr>
                <w:sz w:val="20"/>
                <w:szCs w:val="20"/>
                <w:color w:val="auto"/>
              </w:rPr>
            </w:pPr>
            <w:r>
              <w:rPr>
                <w:rFonts w:ascii="Arial" w:cs="Arial" w:eastAsia="Arial" w:hAnsi="Arial"/>
                <w:sz w:val="10"/>
                <w:szCs w:val="10"/>
                <w:color w:val="auto"/>
              </w:rPr>
              <w:t>Stephen J. Morriss</w:t>
            </w:r>
          </w:p>
        </w:tc>
        <w:tc>
          <w:tcPr>
            <w:tcW w:w="640" w:type="dxa"/>
            <w:vAlign w:val="bottom"/>
          </w:tcPr>
          <w:p>
            <w:pPr>
              <w:jc w:val="center"/>
              <w:spacing w:after="0"/>
              <w:rPr>
                <w:sz w:val="20"/>
                <w:szCs w:val="20"/>
                <w:color w:val="auto"/>
              </w:rPr>
            </w:pPr>
            <w:r>
              <w:rPr>
                <w:rFonts w:ascii="Arial" w:cs="Arial" w:eastAsia="Arial" w:hAnsi="Arial"/>
                <w:sz w:val="10"/>
                <w:szCs w:val="10"/>
                <w:color w:val="auto"/>
              </w:rPr>
              <w:t>STI</w:t>
            </w:r>
          </w:p>
        </w:tc>
        <w:tc>
          <w:tcPr>
            <w:tcW w:w="6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$660,000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$1,320,000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146"/>
        </w:trPr>
        <w:tc>
          <w:tcPr>
            <w:tcW w:w="10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0"/>
                <w:szCs w:val="10"/>
                <w:color w:val="auto"/>
                <w:w w:val="99"/>
              </w:rPr>
              <w:t>PEP</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12/16/2019</w:t>
            </w: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0</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13,935</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27,870</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$600,041</w:t>
            </w:r>
          </w:p>
        </w:tc>
      </w:tr>
      <w:tr>
        <w:trPr>
          <w:trHeight w:val="125"/>
        </w:trPr>
        <w:tc>
          <w:tcPr>
            <w:tcW w:w="104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0"/>
                <w:szCs w:val="10"/>
                <w:color w:val="auto"/>
                <w:w w:val="94"/>
              </w:rPr>
              <w:t>RSU</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12/16/2019</w:t>
            </w: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9,290</w:t>
            </w: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$400,027</w:t>
            </w:r>
          </w:p>
        </w:tc>
      </w:tr>
      <w:tr>
        <w:trPr>
          <w:trHeight w:val="130"/>
        </w:trPr>
        <w:tc>
          <w:tcPr>
            <w:tcW w:w="1040" w:type="dxa"/>
            <w:vAlign w:val="bottom"/>
          </w:tcPr>
          <w:p>
            <w:pPr>
              <w:spacing w:after="0"/>
              <w:rPr>
                <w:sz w:val="20"/>
                <w:szCs w:val="20"/>
                <w:color w:val="auto"/>
              </w:rPr>
            </w:pPr>
            <w:r>
              <w:rPr>
                <w:rFonts w:ascii="Arial" w:cs="Arial" w:eastAsia="Arial" w:hAnsi="Arial"/>
                <w:sz w:val="10"/>
                <w:szCs w:val="10"/>
                <w:color w:val="auto"/>
              </w:rPr>
              <w:t>Michael S. Burke</w:t>
            </w:r>
          </w:p>
        </w:tc>
        <w:tc>
          <w:tcPr>
            <w:tcW w:w="640" w:type="dxa"/>
            <w:vAlign w:val="bottom"/>
          </w:tcPr>
          <w:p>
            <w:pPr>
              <w:jc w:val="center"/>
              <w:spacing w:after="0"/>
              <w:rPr>
                <w:sz w:val="20"/>
                <w:szCs w:val="20"/>
                <w:color w:val="auto"/>
              </w:rPr>
            </w:pPr>
            <w:r>
              <w:rPr>
                <w:rFonts w:ascii="Arial" w:cs="Arial" w:eastAsia="Arial" w:hAnsi="Arial"/>
                <w:sz w:val="10"/>
                <w:szCs w:val="10"/>
                <w:color w:val="auto"/>
              </w:rPr>
              <w:t>STI</w:t>
            </w:r>
          </w:p>
        </w:tc>
        <w:tc>
          <w:tcPr>
            <w:tcW w:w="6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$0</w:t>
            </w:r>
          </w:p>
        </w:tc>
        <w:tc>
          <w:tcPr>
            <w:tcW w:w="860" w:type="dxa"/>
            <w:vAlign w:val="bottom"/>
          </w:tcPr>
          <w:p>
            <w:pPr>
              <w:jc w:val="right"/>
              <w:ind w:right="91"/>
              <w:spacing w:after="0"/>
              <w:rPr>
                <w:sz w:val="20"/>
                <w:szCs w:val="20"/>
                <w:color w:val="auto"/>
              </w:rPr>
            </w:pPr>
            <w:r>
              <w:rPr>
                <w:rFonts w:ascii="Arial" w:cs="Arial" w:eastAsia="Arial" w:hAnsi="Arial"/>
                <w:sz w:val="10"/>
                <w:szCs w:val="10"/>
                <w:color w:val="auto"/>
              </w:rPr>
              <w:t>$2,250,000</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$4,500,000</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$0</w:t>
            </w:r>
          </w:p>
        </w:tc>
      </w:tr>
      <w:tr>
        <w:trPr>
          <w:trHeight w:val="61"/>
        </w:trPr>
        <w:tc>
          <w:tcPr>
            <w:tcW w:w="10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r>
    </w:tbl>
    <w:p>
      <w:pPr>
        <w:spacing w:after="0" w:line="134" w:lineRule="exact"/>
        <w:rPr>
          <w:sz w:val="20"/>
          <w:szCs w:val="20"/>
          <w:color w:val="auto"/>
        </w:rPr>
      </w:pPr>
    </w:p>
    <w:p>
      <w:pPr>
        <w:ind w:left="1480" w:hanging="357"/>
        <w:spacing w:after="0"/>
        <w:tabs>
          <w:tab w:leader="none" w:pos="14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See "COMPENSATION DISCUSSION AND ANALYSIS — 2020 ELEMENTS OF OUR NAMED EXECUTIVE Compensation" for a description of this short-term incentive program.</w:t>
      </w:r>
    </w:p>
    <w:p>
      <w:pPr>
        <w:spacing w:after="0" w:line="144" w:lineRule="exact"/>
        <w:rPr>
          <w:rFonts w:ascii="Arial" w:cs="Arial" w:eastAsia="Arial" w:hAnsi="Arial"/>
          <w:sz w:val="12"/>
          <w:szCs w:val="12"/>
          <w:color w:val="auto"/>
        </w:rPr>
      </w:pPr>
    </w:p>
    <w:p>
      <w:pPr>
        <w:ind w:left="1480" w:hanging="357"/>
        <w:spacing w:after="0"/>
        <w:tabs>
          <w:tab w:leader="none" w:pos="14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target for the PEP2020 awards was 100% of the granted PEP units. The maximum for the PEP2020 awards was 200% of the granted PEP units.</w:t>
      </w:r>
    </w:p>
    <w:p>
      <w:pPr>
        <w:spacing w:after="0" w:line="135" w:lineRule="exact"/>
        <w:rPr>
          <w:rFonts w:ascii="Arial" w:cs="Arial" w:eastAsia="Arial" w:hAnsi="Arial"/>
          <w:sz w:val="12"/>
          <w:szCs w:val="12"/>
          <w:color w:val="auto"/>
        </w:rPr>
      </w:pPr>
    </w:p>
    <w:p>
      <w:pPr>
        <w:ind w:left="1480" w:hanging="357"/>
        <w:spacing w:after="0"/>
        <w:tabs>
          <w:tab w:leader="none" w:pos="14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grant date fair value amounts in this column are based on the following calculations:</w:t>
      </w:r>
    </w:p>
    <w:p>
      <w:pPr>
        <w:spacing w:after="0" w:line="281" w:lineRule="exact"/>
        <w:rPr>
          <w:rFonts w:ascii="Arial" w:cs="Arial" w:eastAsia="Arial" w:hAnsi="Arial"/>
          <w:sz w:val="12"/>
          <w:szCs w:val="12"/>
          <w:color w:val="auto"/>
        </w:rPr>
      </w:pPr>
    </w:p>
    <w:p>
      <w:pPr>
        <w:jc w:val="both"/>
        <w:ind w:left="1860" w:hanging="372"/>
        <w:spacing w:after="0" w:line="256" w:lineRule="auto"/>
        <w:tabs>
          <w:tab w:leader="none" w:pos="1860" w:val="left"/>
        </w:tabs>
        <w:numPr>
          <w:ilvl w:val="1"/>
          <w:numId w:val="56"/>
        </w:numPr>
        <w:rPr>
          <w:rFonts w:ascii="Arial" w:cs="Arial" w:eastAsia="Arial" w:hAnsi="Arial"/>
          <w:sz w:val="12"/>
          <w:szCs w:val="12"/>
          <w:color w:val="auto"/>
        </w:rPr>
      </w:pPr>
      <w:r>
        <w:rPr>
          <w:rFonts w:ascii="Arial" w:cs="Arial" w:eastAsia="Arial" w:hAnsi="Arial"/>
          <w:sz w:val="12"/>
          <w:szCs w:val="12"/>
          <w:color w:val="auto"/>
        </w:rPr>
        <w:t>All of the PEP awards subject to financial performance vesting conditions are calculated based upon the number of target PEP units granted multiplied by the closing common stock price of $43.06 on the grant date. These PEP awards will cliff vest 100% on December 16, 2022, following the close of the three-year vesting period, provided the performance conditions are achieved and subject to continued employment through the vesting date (except in the case of certain qualifying terminations).</w:t>
      </w:r>
    </w:p>
    <w:p>
      <w:pPr>
        <w:spacing w:after="0" w:line="114" w:lineRule="exact"/>
        <w:rPr>
          <w:rFonts w:ascii="Arial" w:cs="Arial" w:eastAsia="Arial" w:hAnsi="Arial"/>
          <w:sz w:val="12"/>
          <w:szCs w:val="12"/>
          <w:color w:val="auto"/>
        </w:rPr>
      </w:pPr>
    </w:p>
    <w:p>
      <w:pPr>
        <w:jc w:val="both"/>
        <w:ind w:left="1860" w:hanging="372"/>
        <w:spacing w:after="0" w:line="256" w:lineRule="auto"/>
        <w:tabs>
          <w:tab w:leader="none" w:pos="1860" w:val="left"/>
        </w:tabs>
        <w:numPr>
          <w:ilvl w:val="1"/>
          <w:numId w:val="56"/>
        </w:numPr>
        <w:rPr>
          <w:rFonts w:ascii="Arial" w:cs="Arial" w:eastAsia="Arial" w:hAnsi="Arial"/>
          <w:sz w:val="12"/>
          <w:szCs w:val="12"/>
          <w:color w:val="auto"/>
        </w:rPr>
      </w:pPr>
      <w:r>
        <w:rPr>
          <w:rFonts w:ascii="Arial" w:cs="Arial" w:eastAsia="Arial" w:hAnsi="Arial"/>
          <w:sz w:val="12"/>
          <w:szCs w:val="12"/>
          <w:color w:val="auto"/>
        </w:rPr>
        <w:t>The annual RSU awards granted on December 16, 2019 are calculated based upon the number of restricted stock units granted multiplied by the closing common stock price of $43.06 on the grant date. These annual restricted stock unit awards will cliff vest 100% on December 16, 2022, subject to continued employment through the vesting date (except in the case of certain qualifying terminations).</w:t>
      </w:r>
    </w:p>
    <w:p>
      <w:pPr>
        <w:spacing w:after="0" w:line="105" w:lineRule="exact"/>
        <w:rPr>
          <w:rFonts w:ascii="Arial" w:cs="Arial" w:eastAsia="Arial" w:hAnsi="Arial"/>
          <w:sz w:val="12"/>
          <w:szCs w:val="12"/>
          <w:color w:val="auto"/>
        </w:rPr>
      </w:pPr>
    </w:p>
    <w:p>
      <w:pPr>
        <w:ind w:left="1860" w:right="20" w:hanging="372"/>
        <w:spacing w:after="0" w:line="274" w:lineRule="auto"/>
        <w:tabs>
          <w:tab w:leader="none" w:pos="1860" w:val="left"/>
        </w:tabs>
        <w:numPr>
          <w:ilvl w:val="1"/>
          <w:numId w:val="56"/>
        </w:numPr>
        <w:rPr>
          <w:rFonts w:ascii="Arial" w:cs="Arial" w:eastAsia="Arial" w:hAnsi="Arial"/>
          <w:sz w:val="12"/>
          <w:szCs w:val="12"/>
          <w:color w:val="auto"/>
        </w:rPr>
      </w:pPr>
      <w:r>
        <w:rPr>
          <w:rFonts w:ascii="Arial" w:cs="Arial" w:eastAsia="Arial" w:hAnsi="Arial"/>
          <w:sz w:val="12"/>
          <w:szCs w:val="12"/>
          <w:color w:val="auto"/>
        </w:rPr>
        <w:t>The RSU awards granted on August 15, 2020 to Mr. Rudd and Ms. Poloni in connection with their promotions are calculated based upon the number of RSUs granted multiplied by the closing common stock price of $38.72 immediately before the grant date, which fell on a weekend. These RSU awards will cliff vest 100% on August 15, 2023.</w:t>
      </w:r>
    </w:p>
    <w:p>
      <w:pPr>
        <w:spacing w:after="0" w:line="95" w:lineRule="exact"/>
        <w:rPr>
          <w:rFonts w:ascii="Arial" w:cs="Arial" w:eastAsia="Arial" w:hAnsi="Arial"/>
          <w:sz w:val="12"/>
          <w:szCs w:val="12"/>
          <w:color w:val="auto"/>
        </w:rPr>
      </w:pPr>
    </w:p>
    <w:p>
      <w:pPr>
        <w:jc w:val="both"/>
        <w:ind w:left="1860" w:hanging="372"/>
        <w:spacing w:after="0" w:line="290" w:lineRule="auto"/>
        <w:tabs>
          <w:tab w:leader="none" w:pos="1860" w:val="left"/>
        </w:tabs>
        <w:numPr>
          <w:ilvl w:val="1"/>
          <w:numId w:val="56"/>
        </w:numPr>
        <w:rPr>
          <w:rFonts w:ascii="Arial" w:cs="Arial" w:eastAsia="Arial" w:hAnsi="Arial"/>
          <w:sz w:val="11"/>
          <w:szCs w:val="11"/>
          <w:color w:val="auto"/>
        </w:rPr>
      </w:pPr>
      <w:r>
        <w:rPr>
          <w:rFonts w:ascii="Arial" w:cs="Arial" w:eastAsia="Arial" w:hAnsi="Arial"/>
          <w:sz w:val="11"/>
          <w:szCs w:val="11"/>
          <w:color w:val="auto"/>
        </w:rPr>
        <w:t>Options awards issued on August 15, 2020, are calculated based upon the number of options granted multiplied by the Financial Accounting Standards Board ("FASB") Accounting Standards Codification ("ASC") 718 grant date fair value of $11.30, determined using a Monte Carlo valuation model. These special performance stock options will vest equal installments over a five-year vesting period subject to the achievement of certain stock price performance goals and satisfaction of applicable continued employment requirements.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8" w:name="page89"/>
    <w:bookmarkEnd w:id="88"/>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76770" cy="114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Outstanding Equity Awards at Fiscal Year-End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information with respect to all outstanding equity awards held by the NEOs as of September 30, 2020.</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Borders>
              <w:bottom w:val="single" w:sz="8" w:color="00B2E5"/>
            </w:tcBorders>
          </w:tcPr>
          <w:p>
            <w:pPr>
              <w:spacing w:after="0"/>
              <w:rPr>
                <w:sz w:val="12"/>
                <w:szCs w:val="12"/>
                <w:color w:val="auto"/>
              </w:rPr>
            </w:pPr>
          </w:p>
        </w:tc>
        <w:tc>
          <w:tcPr>
            <w:tcW w:w="1280" w:type="dxa"/>
            <w:vAlign w:val="bottom"/>
            <w:tcBorders>
              <w:bottom w:val="single" w:sz="8" w:color="00B2E5"/>
            </w:tcBorders>
            <w:gridSpan w:val="2"/>
          </w:tcPr>
          <w:p>
            <w:pPr>
              <w:jc w:val="right"/>
              <w:ind w:right="311"/>
              <w:spacing w:after="0"/>
              <w:rPr>
                <w:sz w:val="20"/>
                <w:szCs w:val="20"/>
                <w:color w:val="auto"/>
              </w:rPr>
            </w:pPr>
            <w:r>
              <w:rPr>
                <w:rFonts w:ascii="Arial" w:cs="Arial" w:eastAsia="Arial" w:hAnsi="Arial"/>
                <w:sz w:val="10"/>
                <w:szCs w:val="10"/>
                <w:b w:val="1"/>
                <w:bCs w:val="1"/>
                <w:color w:val="auto"/>
              </w:rPr>
              <w:t>Option Award</w:t>
            </w:r>
          </w:p>
        </w:tc>
        <w:tc>
          <w:tcPr>
            <w:tcW w:w="560" w:type="dxa"/>
            <w:vAlign w:val="bottom"/>
            <w:tcBorders>
              <w:bottom w:val="single" w:sz="8" w:color="00B2E5"/>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bottom w:val="single" w:sz="8" w:color="00B2E5"/>
            </w:tcBorders>
          </w:tcPr>
          <w:p>
            <w:pPr>
              <w:spacing w:after="0"/>
              <w:rPr>
                <w:sz w:val="12"/>
                <w:szCs w:val="12"/>
                <w:color w:val="auto"/>
              </w:rPr>
            </w:pPr>
          </w:p>
        </w:tc>
        <w:tc>
          <w:tcPr>
            <w:tcW w:w="600" w:type="dxa"/>
            <w:vAlign w:val="bottom"/>
            <w:tcBorders>
              <w:bottom w:val="single" w:sz="8" w:color="00B2E5"/>
            </w:tcBorders>
          </w:tcPr>
          <w:p>
            <w:pPr>
              <w:spacing w:after="0"/>
              <w:rPr>
                <w:sz w:val="12"/>
                <w:szCs w:val="12"/>
                <w:color w:val="auto"/>
              </w:rPr>
            </w:pPr>
          </w:p>
        </w:tc>
        <w:tc>
          <w:tcPr>
            <w:tcW w:w="1260" w:type="dxa"/>
            <w:vAlign w:val="bottom"/>
            <w:tcBorders>
              <w:bottom w:val="single" w:sz="8" w:color="00B2E5"/>
            </w:tcBorders>
            <w:gridSpan w:val="3"/>
          </w:tcPr>
          <w:p>
            <w:pPr>
              <w:ind w:left="320"/>
              <w:spacing w:after="0"/>
              <w:rPr>
                <w:sz w:val="20"/>
                <w:szCs w:val="20"/>
                <w:color w:val="auto"/>
              </w:rPr>
            </w:pPr>
            <w:r>
              <w:rPr>
                <w:rFonts w:ascii="Arial" w:cs="Arial" w:eastAsia="Arial" w:hAnsi="Arial"/>
                <w:sz w:val="10"/>
                <w:szCs w:val="10"/>
                <w:b w:val="1"/>
                <w:bCs w:val="1"/>
                <w:color w:val="auto"/>
              </w:rPr>
              <w:t>Stock Award</w:t>
            </w:r>
          </w:p>
        </w:tc>
        <w:tc>
          <w:tcPr>
            <w:tcW w:w="480" w:type="dxa"/>
            <w:vAlign w:val="bottom"/>
            <w:tcBorders>
              <w:bottom w:val="single" w:sz="8" w:color="00B2E5"/>
            </w:tcBorders>
          </w:tcPr>
          <w:p>
            <w:pPr>
              <w:spacing w:after="0"/>
              <w:rPr>
                <w:sz w:val="12"/>
                <w:szCs w:val="12"/>
                <w:color w:val="auto"/>
              </w:rPr>
            </w:pPr>
          </w:p>
        </w:tc>
        <w:tc>
          <w:tcPr>
            <w:tcW w:w="560" w:type="dxa"/>
            <w:vAlign w:val="bottom"/>
            <w:tcBorders>
              <w:bottom w:val="single" w:sz="8" w:color="00B2E5"/>
            </w:tcBorders>
          </w:tcPr>
          <w:p>
            <w:pPr>
              <w:spacing w:after="0"/>
              <w:rPr>
                <w:sz w:val="12"/>
                <w:szCs w:val="12"/>
                <w:color w:val="auto"/>
              </w:rPr>
            </w:pPr>
          </w:p>
        </w:tc>
        <w:tc>
          <w:tcPr>
            <w:tcW w:w="20" w:type="dxa"/>
            <w:vAlign w:val="bottom"/>
          </w:tcPr>
          <w:p>
            <w:pPr>
              <w:spacing w:after="0"/>
              <w:rPr>
                <w:sz w:val="12"/>
                <w:szCs w:val="12"/>
                <w:color w:val="auto"/>
              </w:rPr>
            </w:pPr>
          </w:p>
        </w:tc>
      </w:tr>
      <w:tr>
        <w:trPr>
          <w:trHeight w:val="179"/>
        </w:trPr>
        <w:tc>
          <w:tcPr>
            <w:tcW w:w="1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jc w:val="right"/>
              <w:ind w:right="31"/>
              <w:spacing w:after="0"/>
              <w:rPr>
                <w:sz w:val="20"/>
                <w:szCs w:val="20"/>
                <w:color w:val="auto"/>
              </w:rPr>
            </w:pPr>
            <w:r>
              <w:rPr>
                <w:rFonts w:ascii="Arial" w:cs="Arial" w:eastAsia="Arial" w:hAnsi="Arial"/>
                <w:sz w:val="10"/>
                <w:szCs w:val="10"/>
                <w:b w:val="1"/>
                <w:bCs w:val="1"/>
                <w:color w:val="auto"/>
              </w:rPr>
              <w:t>Equity</w:t>
            </w: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09"/>
        </w:trPr>
        <w:tc>
          <w:tcPr>
            <w:tcW w:w="1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jc w:val="right"/>
              <w:ind w:right="31"/>
              <w:spacing w:after="0" w:line="110" w:lineRule="exact"/>
              <w:rPr>
                <w:sz w:val="20"/>
                <w:szCs w:val="20"/>
                <w:color w:val="auto"/>
              </w:rPr>
            </w:pPr>
            <w:r>
              <w:rPr>
                <w:rFonts w:ascii="Arial" w:cs="Arial" w:eastAsia="Arial" w:hAnsi="Arial"/>
                <w:sz w:val="10"/>
                <w:szCs w:val="10"/>
                <w:b w:val="1"/>
                <w:bCs w:val="1"/>
                <w:color w:val="auto"/>
              </w:rPr>
              <w:t>Incentive</w:t>
            </w: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9"/>
        </w:trPr>
        <w:tc>
          <w:tcPr>
            <w:tcW w:w="1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jc w:val="right"/>
              <w:ind w:right="31"/>
              <w:spacing w:after="0" w:line="110" w:lineRule="exact"/>
              <w:rPr>
                <w:sz w:val="20"/>
                <w:szCs w:val="20"/>
                <w:color w:val="auto"/>
              </w:rPr>
            </w:pPr>
            <w:r>
              <w:rPr>
                <w:rFonts w:ascii="Arial" w:cs="Arial" w:eastAsia="Arial" w:hAnsi="Arial"/>
                <w:sz w:val="10"/>
                <w:szCs w:val="10"/>
                <w:b w:val="1"/>
                <w:bCs w:val="1"/>
                <w:color w:val="auto"/>
              </w:rPr>
              <w:t>Plan</w:t>
            </w: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9"/>
        </w:trPr>
        <w:tc>
          <w:tcPr>
            <w:tcW w:w="1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jc w:val="right"/>
              <w:ind w:right="31"/>
              <w:spacing w:after="0" w:line="110" w:lineRule="exact"/>
              <w:rPr>
                <w:sz w:val="20"/>
                <w:szCs w:val="20"/>
                <w:color w:val="auto"/>
              </w:rPr>
            </w:pPr>
            <w:r>
              <w:rPr>
                <w:rFonts w:ascii="Arial" w:cs="Arial" w:eastAsia="Arial" w:hAnsi="Arial"/>
                <w:sz w:val="10"/>
                <w:szCs w:val="10"/>
                <w:b w:val="1"/>
                <w:bCs w:val="1"/>
                <w:color w:val="auto"/>
              </w:rPr>
              <w:t>Awards:</w:t>
            </w: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9"/>
        </w:trPr>
        <w:tc>
          <w:tcPr>
            <w:tcW w:w="1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40" w:type="dxa"/>
            <w:vAlign w:val="bottom"/>
          </w:tcPr>
          <w:p>
            <w:pPr>
              <w:jc w:val="right"/>
              <w:ind w:right="11"/>
              <w:spacing w:after="0" w:line="110" w:lineRule="exact"/>
              <w:rPr>
                <w:sz w:val="20"/>
                <w:szCs w:val="20"/>
                <w:color w:val="auto"/>
              </w:rPr>
            </w:pPr>
            <w:r>
              <w:rPr>
                <w:rFonts w:ascii="Arial" w:cs="Arial" w:eastAsia="Arial" w:hAnsi="Arial"/>
                <w:sz w:val="10"/>
                <w:szCs w:val="10"/>
                <w:b w:val="1"/>
                <w:bCs w:val="1"/>
                <w:color w:val="auto"/>
              </w:rPr>
              <w:t>Number of</w:t>
            </w:r>
          </w:p>
        </w:tc>
        <w:tc>
          <w:tcPr>
            <w:tcW w:w="740" w:type="dxa"/>
            <w:vAlign w:val="bottom"/>
          </w:tcPr>
          <w:p>
            <w:pPr>
              <w:jc w:val="right"/>
              <w:ind w:right="31"/>
              <w:spacing w:after="0" w:line="110" w:lineRule="exact"/>
              <w:rPr>
                <w:sz w:val="20"/>
                <w:szCs w:val="20"/>
                <w:color w:val="auto"/>
              </w:rPr>
            </w:pPr>
            <w:r>
              <w:rPr>
                <w:rFonts w:ascii="Arial" w:cs="Arial" w:eastAsia="Arial" w:hAnsi="Arial"/>
                <w:sz w:val="10"/>
                <w:szCs w:val="10"/>
                <w:b w:val="1"/>
                <w:bCs w:val="1"/>
                <w:color w:val="auto"/>
              </w:rPr>
              <w:t>Number of</w:t>
            </w: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gridSpan w:val="4"/>
          </w:tcPr>
          <w:p>
            <w:pPr>
              <w:jc w:val="center"/>
              <w:spacing w:after="0" w:line="110" w:lineRule="exact"/>
              <w:rPr>
                <w:sz w:val="20"/>
                <w:szCs w:val="20"/>
                <w:color w:val="auto"/>
              </w:rPr>
            </w:pPr>
            <w:r>
              <w:rPr>
                <w:rFonts w:ascii="Arial" w:cs="Arial" w:eastAsia="Arial" w:hAnsi="Arial"/>
                <w:sz w:val="10"/>
                <w:szCs w:val="10"/>
                <w:b w:val="1"/>
                <w:bCs w:val="1"/>
                <w:color w:val="auto"/>
                <w:w w:val="96"/>
              </w:rPr>
              <w:t>Equity Incentive Plan Awards:</w:t>
            </w:r>
          </w:p>
        </w:tc>
      </w:tr>
      <w:tr>
        <w:trPr>
          <w:trHeight w:val="109"/>
        </w:trPr>
        <w:tc>
          <w:tcPr>
            <w:tcW w:w="1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40" w:type="dxa"/>
            <w:vAlign w:val="bottom"/>
          </w:tcPr>
          <w:p>
            <w:pPr>
              <w:jc w:val="right"/>
              <w:ind w:right="11"/>
              <w:spacing w:after="0" w:line="110" w:lineRule="exact"/>
              <w:rPr>
                <w:sz w:val="20"/>
                <w:szCs w:val="20"/>
                <w:color w:val="auto"/>
              </w:rPr>
            </w:pPr>
            <w:r>
              <w:rPr>
                <w:rFonts w:ascii="Arial" w:cs="Arial" w:eastAsia="Arial" w:hAnsi="Arial"/>
                <w:sz w:val="10"/>
                <w:szCs w:val="10"/>
                <w:b w:val="1"/>
                <w:bCs w:val="1"/>
                <w:color w:val="auto"/>
              </w:rPr>
              <w:t>Securities</w:t>
            </w:r>
          </w:p>
        </w:tc>
        <w:tc>
          <w:tcPr>
            <w:tcW w:w="740" w:type="dxa"/>
            <w:vAlign w:val="bottom"/>
          </w:tcPr>
          <w:p>
            <w:pPr>
              <w:jc w:val="right"/>
              <w:ind w:right="31"/>
              <w:spacing w:after="0" w:line="110" w:lineRule="exact"/>
              <w:rPr>
                <w:sz w:val="20"/>
                <w:szCs w:val="20"/>
                <w:color w:val="auto"/>
              </w:rPr>
            </w:pPr>
            <w:r>
              <w:rPr>
                <w:rFonts w:ascii="Arial" w:cs="Arial" w:eastAsia="Arial" w:hAnsi="Arial"/>
                <w:sz w:val="10"/>
                <w:szCs w:val="10"/>
                <w:b w:val="1"/>
                <w:bCs w:val="1"/>
                <w:color w:val="auto"/>
              </w:rPr>
              <w:t>Securities</w:t>
            </w: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40" w:type="dxa"/>
            <w:vAlign w:val="bottom"/>
            <w:gridSpan w:val="4"/>
          </w:tcPr>
          <w:p>
            <w:pPr>
              <w:jc w:val="center"/>
              <w:ind w:right="140"/>
              <w:spacing w:after="0" w:line="110" w:lineRule="exact"/>
              <w:rPr>
                <w:sz w:val="20"/>
                <w:szCs w:val="20"/>
                <w:color w:val="auto"/>
              </w:rPr>
            </w:pPr>
            <w:r>
              <w:rPr>
                <w:rFonts w:ascii="Arial" w:cs="Arial" w:eastAsia="Arial" w:hAnsi="Arial"/>
                <w:sz w:val="10"/>
                <w:szCs w:val="10"/>
                <w:b w:val="1"/>
                <w:bCs w:val="1"/>
                <w:color w:val="auto"/>
                <w:w w:val="98"/>
              </w:rPr>
              <w:t>Shares or Units of Stock</w:t>
            </w:r>
          </w:p>
        </w:tc>
        <w:tc>
          <w:tcPr>
            <w:tcW w:w="1540" w:type="dxa"/>
            <w:vAlign w:val="bottom"/>
            <w:gridSpan w:val="4"/>
          </w:tcPr>
          <w:p>
            <w:pPr>
              <w:jc w:val="center"/>
              <w:ind w:right="20"/>
              <w:spacing w:after="0" w:line="110" w:lineRule="exact"/>
              <w:rPr>
                <w:sz w:val="20"/>
                <w:szCs w:val="20"/>
                <w:color w:val="auto"/>
              </w:rPr>
            </w:pPr>
            <w:r>
              <w:rPr>
                <w:rFonts w:ascii="Arial" w:cs="Arial" w:eastAsia="Arial" w:hAnsi="Arial"/>
                <w:sz w:val="10"/>
                <w:szCs w:val="10"/>
                <w:b w:val="1"/>
                <w:bCs w:val="1"/>
                <w:color w:val="auto"/>
                <w:w w:val="97"/>
              </w:rPr>
              <w:t>Unearned Shares or Units</w:t>
            </w:r>
          </w:p>
        </w:tc>
      </w:tr>
      <w:tr>
        <w:trPr>
          <w:trHeight w:val="118"/>
        </w:trPr>
        <w:tc>
          <w:tcPr>
            <w:tcW w:w="16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b w:val="1"/>
                <w:bCs w:val="1"/>
                <w:color w:val="auto"/>
              </w:rPr>
              <w:t>Underlying</w:t>
            </w:r>
          </w:p>
        </w:tc>
        <w:tc>
          <w:tcPr>
            <w:tcW w:w="740" w:type="dxa"/>
            <w:vAlign w:val="bottom"/>
          </w:tcPr>
          <w:p>
            <w:pPr>
              <w:jc w:val="right"/>
              <w:ind w:right="31"/>
              <w:spacing w:after="0"/>
              <w:rPr>
                <w:sz w:val="20"/>
                <w:szCs w:val="20"/>
                <w:color w:val="auto"/>
              </w:rPr>
            </w:pPr>
            <w:r>
              <w:rPr>
                <w:rFonts w:ascii="Arial" w:cs="Arial" w:eastAsia="Arial" w:hAnsi="Arial"/>
                <w:sz w:val="10"/>
                <w:szCs w:val="10"/>
                <w:b w:val="1"/>
                <w:bCs w:val="1"/>
                <w:color w:val="auto"/>
              </w:rPr>
              <w:t>Underlying</w:t>
            </w: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4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95"/>
              </w:rPr>
              <w:t>That Have Not Vested</w:t>
            </w:r>
          </w:p>
        </w:tc>
        <w:tc>
          <w:tcPr>
            <w:tcW w:w="1540" w:type="dxa"/>
            <w:vAlign w:val="bottom"/>
            <w:gridSpan w:val="4"/>
          </w:tcPr>
          <w:p>
            <w:pPr>
              <w:jc w:val="center"/>
              <w:ind w:right="20"/>
              <w:spacing w:after="0"/>
              <w:rPr>
                <w:sz w:val="20"/>
                <w:szCs w:val="20"/>
                <w:color w:val="auto"/>
              </w:rPr>
            </w:pPr>
            <w:r>
              <w:rPr>
                <w:rFonts w:ascii="Arial" w:cs="Arial" w:eastAsia="Arial" w:hAnsi="Arial"/>
                <w:sz w:val="10"/>
                <w:szCs w:val="10"/>
                <w:b w:val="1"/>
                <w:bCs w:val="1"/>
                <w:color w:val="auto"/>
                <w:w w:val="97"/>
              </w:rPr>
              <w:t>That Have Not Vested</w:t>
            </w:r>
          </w:p>
        </w:tc>
      </w:tr>
      <w:tr>
        <w:trPr>
          <w:trHeight w:val="99"/>
        </w:trPr>
        <w:tc>
          <w:tcPr>
            <w:tcW w:w="1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40" w:type="dxa"/>
            <w:vAlign w:val="bottom"/>
          </w:tcPr>
          <w:p>
            <w:pPr>
              <w:jc w:val="right"/>
              <w:ind w:right="11"/>
              <w:spacing w:after="0" w:line="99" w:lineRule="exact"/>
              <w:rPr>
                <w:sz w:val="20"/>
                <w:szCs w:val="20"/>
                <w:color w:val="auto"/>
              </w:rPr>
            </w:pPr>
            <w:r>
              <w:rPr>
                <w:rFonts w:ascii="Arial" w:cs="Arial" w:eastAsia="Arial" w:hAnsi="Arial"/>
                <w:sz w:val="10"/>
                <w:szCs w:val="10"/>
                <w:b w:val="1"/>
                <w:bCs w:val="1"/>
                <w:color w:val="auto"/>
                <w:w w:val="94"/>
              </w:rPr>
              <w:t>Unexercised</w:t>
            </w:r>
          </w:p>
        </w:tc>
        <w:tc>
          <w:tcPr>
            <w:tcW w:w="740" w:type="dxa"/>
            <w:vAlign w:val="bottom"/>
          </w:tcPr>
          <w:p>
            <w:pPr>
              <w:jc w:val="right"/>
              <w:ind w:right="31"/>
              <w:spacing w:after="0" w:line="99" w:lineRule="exact"/>
              <w:rPr>
                <w:sz w:val="20"/>
                <w:szCs w:val="20"/>
                <w:color w:val="auto"/>
              </w:rPr>
            </w:pPr>
            <w:r>
              <w:rPr>
                <w:rFonts w:ascii="Arial" w:cs="Arial" w:eastAsia="Arial" w:hAnsi="Arial"/>
                <w:sz w:val="10"/>
                <w:szCs w:val="10"/>
                <w:b w:val="1"/>
                <w:bCs w:val="1"/>
                <w:color w:val="auto"/>
              </w:rPr>
              <w:t>Unexercised</w:t>
            </w:r>
          </w:p>
        </w:tc>
        <w:tc>
          <w:tcPr>
            <w:tcW w:w="540" w:type="dxa"/>
            <w:vAlign w:val="bottom"/>
          </w:tcPr>
          <w:p>
            <w:pPr>
              <w:jc w:val="right"/>
              <w:ind w:right="11"/>
              <w:spacing w:after="0" w:line="99" w:lineRule="exact"/>
              <w:rPr>
                <w:sz w:val="20"/>
                <w:szCs w:val="20"/>
                <w:color w:val="auto"/>
              </w:rPr>
            </w:pPr>
            <w:r>
              <w:rPr>
                <w:rFonts w:ascii="Arial" w:cs="Arial" w:eastAsia="Arial" w:hAnsi="Arial"/>
                <w:sz w:val="10"/>
                <w:szCs w:val="10"/>
                <w:b w:val="1"/>
                <w:bCs w:val="1"/>
                <w:color w:val="auto"/>
              </w:rPr>
              <w:t>Option</w:t>
            </w: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top w:val="single" w:sz="8" w:color="00B2E5"/>
            </w:tcBorders>
          </w:tcPr>
          <w:p>
            <w:pPr>
              <w:spacing w:after="0"/>
              <w:rPr>
                <w:sz w:val="8"/>
                <w:szCs w:val="8"/>
                <w:color w:val="auto"/>
              </w:rPr>
            </w:pPr>
          </w:p>
        </w:tc>
        <w:tc>
          <w:tcPr>
            <w:tcW w:w="600" w:type="dxa"/>
            <w:vAlign w:val="bottom"/>
            <w:tcBorders>
              <w:top w:val="single" w:sz="8" w:color="00B2E5"/>
            </w:tcBorders>
          </w:tcPr>
          <w:p>
            <w:pPr>
              <w:spacing w:after="0"/>
              <w:rPr>
                <w:sz w:val="8"/>
                <w:szCs w:val="8"/>
                <w:color w:val="auto"/>
              </w:rPr>
            </w:pPr>
          </w:p>
        </w:tc>
        <w:tc>
          <w:tcPr>
            <w:tcW w:w="640" w:type="dxa"/>
            <w:vAlign w:val="bottom"/>
            <w:tcBorders>
              <w:top w:val="single" w:sz="8" w:color="00B2E5"/>
            </w:tcBorders>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Borders>
              <w:top w:val="single" w:sz="8" w:color="00B2E5"/>
            </w:tcBorders>
          </w:tcPr>
          <w:p>
            <w:pPr>
              <w:spacing w:after="0"/>
              <w:rPr>
                <w:sz w:val="8"/>
                <w:szCs w:val="8"/>
                <w:color w:val="auto"/>
              </w:rPr>
            </w:pPr>
          </w:p>
        </w:tc>
        <w:tc>
          <w:tcPr>
            <w:tcW w:w="480" w:type="dxa"/>
            <w:vAlign w:val="bottom"/>
            <w:tcBorders>
              <w:top w:val="single" w:sz="8" w:color="00B2E5"/>
            </w:tcBorders>
          </w:tcPr>
          <w:p>
            <w:pPr>
              <w:spacing w:after="0"/>
              <w:rPr>
                <w:sz w:val="8"/>
                <w:szCs w:val="8"/>
                <w:color w:val="auto"/>
              </w:rPr>
            </w:pPr>
          </w:p>
        </w:tc>
        <w:tc>
          <w:tcPr>
            <w:tcW w:w="560" w:type="dxa"/>
            <w:vAlign w:val="bottom"/>
            <w:tcBorders>
              <w:top w:val="single" w:sz="8" w:color="00B2E5"/>
            </w:tcBorders>
          </w:tcPr>
          <w:p>
            <w:pPr>
              <w:jc w:val="right"/>
              <w:spacing w:after="0" w:line="99" w:lineRule="exact"/>
              <w:rPr>
                <w:sz w:val="20"/>
                <w:szCs w:val="20"/>
                <w:color w:val="auto"/>
              </w:rPr>
            </w:pPr>
            <w:r>
              <w:rPr>
                <w:rFonts w:ascii="Arial" w:cs="Arial" w:eastAsia="Arial" w:hAnsi="Arial"/>
                <w:sz w:val="10"/>
                <w:szCs w:val="10"/>
                <w:b w:val="1"/>
                <w:bCs w:val="1"/>
                <w:color w:val="auto"/>
              </w:rPr>
              <w:t>Market or</w:t>
            </w:r>
          </w:p>
        </w:tc>
        <w:tc>
          <w:tcPr>
            <w:tcW w:w="20" w:type="dxa"/>
            <w:vAlign w:val="bottom"/>
          </w:tcPr>
          <w:p>
            <w:pPr>
              <w:spacing w:after="0"/>
              <w:rPr>
                <w:sz w:val="8"/>
                <w:szCs w:val="8"/>
                <w:color w:val="auto"/>
              </w:rPr>
            </w:pPr>
          </w:p>
        </w:tc>
      </w:tr>
      <w:tr>
        <w:trPr>
          <w:trHeight w:val="109"/>
        </w:trPr>
        <w:tc>
          <w:tcPr>
            <w:tcW w:w="1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40" w:type="dxa"/>
            <w:vAlign w:val="bottom"/>
          </w:tcPr>
          <w:p>
            <w:pPr>
              <w:jc w:val="right"/>
              <w:ind w:right="11"/>
              <w:spacing w:after="0" w:line="110" w:lineRule="exact"/>
              <w:rPr>
                <w:sz w:val="20"/>
                <w:szCs w:val="20"/>
                <w:color w:val="auto"/>
              </w:rPr>
            </w:pPr>
            <w:r>
              <w:rPr>
                <w:rFonts w:ascii="Arial" w:cs="Arial" w:eastAsia="Arial" w:hAnsi="Arial"/>
                <w:sz w:val="10"/>
                <w:szCs w:val="10"/>
                <w:b w:val="1"/>
                <w:bCs w:val="1"/>
                <w:color w:val="auto"/>
              </w:rPr>
              <w:t>Options</w:t>
            </w:r>
          </w:p>
        </w:tc>
        <w:tc>
          <w:tcPr>
            <w:tcW w:w="740" w:type="dxa"/>
            <w:vAlign w:val="bottom"/>
          </w:tcPr>
          <w:p>
            <w:pPr>
              <w:jc w:val="right"/>
              <w:ind w:right="31"/>
              <w:spacing w:after="0" w:line="110" w:lineRule="exact"/>
              <w:rPr>
                <w:sz w:val="20"/>
                <w:szCs w:val="20"/>
                <w:color w:val="auto"/>
              </w:rPr>
            </w:pPr>
            <w:r>
              <w:rPr>
                <w:rFonts w:ascii="Arial" w:cs="Arial" w:eastAsia="Arial" w:hAnsi="Arial"/>
                <w:sz w:val="10"/>
                <w:szCs w:val="10"/>
                <w:b w:val="1"/>
                <w:bCs w:val="1"/>
                <w:color w:val="auto"/>
              </w:rPr>
              <w:t>Unearned</w:t>
            </w:r>
          </w:p>
        </w:tc>
        <w:tc>
          <w:tcPr>
            <w:tcW w:w="540" w:type="dxa"/>
            <w:vAlign w:val="bottom"/>
          </w:tcPr>
          <w:p>
            <w:pPr>
              <w:jc w:val="right"/>
              <w:ind w:right="11"/>
              <w:spacing w:after="0" w:line="110" w:lineRule="exact"/>
              <w:rPr>
                <w:sz w:val="20"/>
                <w:szCs w:val="20"/>
                <w:color w:val="auto"/>
              </w:rPr>
            </w:pPr>
            <w:r>
              <w:rPr>
                <w:rFonts w:ascii="Arial" w:cs="Arial" w:eastAsia="Arial" w:hAnsi="Arial"/>
                <w:sz w:val="10"/>
                <w:szCs w:val="10"/>
                <w:b w:val="1"/>
                <w:bCs w:val="1"/>
                <w:color w:val="auto"/>
              </w:rPr>
              <w:t>Exercise</w:t>
            </w:r>
          </w:p>
        </w:tc>
        <w:tc>
          <w:tcPr>
            <w:tcW w:w="700" w:type="dxa"/>
            <w:vAlign w:val="bottom"/>
            <w:gridSpan w:val="2"/>
          </w:tcPr>
          <w:p>
            <w:pPr>
              <w:jc w:val="right"/>
              <w:ind w:right="140"/>
              <w:spacing w:after="0" w:line="110" w:lineRule="exact"/>
              <w:rPr>
                <w:sz w:val="20"/>
                <w:szCs w:val="20"/>
                <w:color w:val="auto"/>
              </w:rPr>
            </w:pPr>
            <w:r>
              <w:rPr>
                <w:rFonts w:ascii="Arial" w:cs="Arial" w:eastAsia="Arial" w:hAnsi="Arial"/>
                <w:sz w:val="10"/>
                <w:szCs w:val="10"/>
                <w:b w:val="1"/>
                <w:bCs w:val="1"/>
                <w:color w:val="auto"/>
              </w:rPr>
              <w:t>Option</w:t>
            </w: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0"/>
                <w:szCs w:val="10"/>
                <w:b w:val="1"/>
                <w:bCs w:val="1"/>
                <w:color w:val="auto"/>
              </w:rPr>
              <w:t>Market</w:t>
            </w: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gridSpan w:val="2"/>
          </w:tcPr>
          <w:p>
            <w:pPr>
              <w:jc w:val="right"/>
              <w:ind w:right="20"/>
              <w:spacing w:after="0" w:line="110" w:lineRule="exact"/>
              <w:rPr>
                <w:sz w:val="20"/>
                <w:szCs w:val="20"/>
                <w:color w:val="auto"/>
              </w:rPr>
            </w:pPr>
            <w:r>
              <w:rPr>
                <w:rFonts w:ascii="Arial" w:cs="Arial" w:eastAsia="Arial" w:hAnsi="Arial"/>
                <w:sz w:val="10"/>
                <w:szCs w:val="10"/>
                <w:b w:val="1"/>
                <w:bCs w:val="1"/>
                <w:color w:val="auto"/>
              </w:rPr>
              <w:t>Payout</w:t>
            </w:r>
          </w:p>
        </w:tc>
      </w:tr>
      <w:tr>
        <w:trPr>
          <w:trHeight w:val="109"/>
        </w:trPr>
        <w:tc>
          <w:tcPr>
            <w:tcW w:w="1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40" w:type="dxa"/>
            <w:vAlign w:val="bottom"/>
          </w:tcPr>
          <w:p>
            <w:pPr>
              <w:jc w:val="right"/>
              <w:ind w:right="11"/>
              <w:spacing w:after="0" w:line="110" w:lineRule="exact"/>
              <w:rPr>
                <w:sz w:val="20"/>
                <w:szCs w:val="20"/>
                <w:color w:val="auto"/>
              </w:rPr>
            </w:pPr>
            <w:r>
              <w:rPr>
                <w:rFonts w:ascii="Arial" w:cs="Arial" w:eastAsia="Arial" w:hAnsi="Arial"/>
                <w:sz w:val="10"/>
                <w:szCs w:val="10"/>
                <w:b w:val="1"/>
                <w:bCs w:val="1"/>
                <w:color w:val="auto"/>
              </w:rPr>
              <w:t>Exercisable</w:t>
            </w:r>
          </w:p>
        </w:tc>
        <w:tc>
          <w:tcPr>
            <w:tcW w:w="740" w:type="dxa"/>
            <w:vAlign w:val="bottom"/>
          </w:tcPr>
          <w:p>
            <w:pPr>
              <w:jc w:val="right"/>
              <w:ind w:right="31"/>
              <w:spacing w:after="0" w:line="110" w:lineRule="exact"/>
              <w:rPr>
                <w:sz w:val="20"/>
                <w:szCs w:val="20"/>
                <w:color w:val="auto"/>
              </w:rPr>
            </w:pPr>
            <w:r>
              <w:rPr>
                <w:rFonts w:ascii="Arial" w:cs="Arial" w:eastAsia="Arial" w:hAnsi="Arial"/>
                <w:sz w:val="10"/>
                <w:szCs w:val="10"/>
                <w:b w:val="1"/>
                <w:bCs w:val="1"/>
                <w:color w:val="auto"/>
              </w:rPr>
              <w:t>Options</w:t>
            </w:r>
          </w:p>
        </w:tc>
        <w:tc>
          <w:tcPr>
            <w:tcW w:w="540" w:type="dxa"/>
            <w:vAlign w:val="bottom"/>
          </w:tcPr>
          <w:p>
            <w:pPr>
              <w:jc w:val="right"/>
              <w:ind w:right="11"/>
              <w:spacing w:after="0" w:line="110" w:lineRule="exact"/>
              <w:rPr>
                <w:sz w:val="20"/>
                <w:szCs w:val="20"/>
                <w:color w:val="auto"/>
              </w:rPr>
            </w:pPr>
            <w:r>
              <w:rPr>
                <w:rFonts w:ascii="Arial" w:cs="Arial" w:eastAsia="Arial" w:hAnsi="Arial"/>
                <w:sz w:val="10"/>
                <w:szCs w:val="10"/>
                <w:b w:val="1"/>
                <w:bCs w:val="1"/>
                <w:color w:val="auto"/>
              </w:rPr>
              <w:t>Price</w:t>
            </w:r>
          </w:p>
        </w:tc>
        <w:tc>
          <w:tcPr>
            <w:tcW w:w="700" w:type="dxa"/>
            <w:vAlign w:val="bottom"/>
            <w:gridSpan w:val="2"/>
          </w:tcPr>
          <w:p>
            <w:pPr>
              <w:jc w:val="right"/>
              <w:ind w:right="140"/>
              <w:spacing w:after="0" w:line="110" w:lineRule="exact"/>
              <w:rPr>
                <w:sz w:val="20"/>
                <w:szCs w:val="20"/>
                <w:color w:val="auto"/>
              </w:rPr>
            </w:pPr>
            <w:r>
              <w:rPr>
                <w:rFonts w:ascii="Arial" w:cs="Arial" w:eastAsia="Arial" w:hAnsi="Arial"/>
                <w:sz w:val="10"/>
                <w:szCs w:val="10"/>
                <w:b w:val="1"/>
                <w:bCs w:val="1"/>
                <w:color w:val="auto"/>
              </w:rPr>
              <w:t>Expiration</w:t>
            </w:r>
          </w:p>
        </w:tc>
        <w:tc>
          <w:tcPr>
            <w:tcW w:w="460" w:type="dxa"/>
            <w:vAlign w:val="bottom"/>
          </w:tcPr>
          <w:p>
            <w:pPr>
              <w:spacing w:after="0"/>
              <w:rPr>
                <w:sz w:val="9"/>
                <w:szCs w:val="9"/>
                <w:color w:val="auto"/>
              </w:rPr>
            </w:pPr>
          </w:p>
        </w:tc>
        <w:tc>
          <w:tcPr>
            <w:tcW w:w="600" w:type="dxa"/>
            <w:vAlign w:val="bottom"/>
          </w:tcPr>
          <w:p>
            <w:pPr>
              <w:jc w:val="right"/>
              <w:ind w:right="31"/>
              <w:spacing w:after="0" w:line="110" w:lineRule="exact"/>
              <w:rPr>
                <w:sz w:val="20"/>
                <w:szCs w:val="20"/>
                <w:color w:val="auto"/>
              </w:rPr>
            </w:pPr>
            <w:r>
              <w:rPr>
                <w:rFonts w:ascii="Arial" w:cs="Arial" w:eastAsia="Arial" w:hAnsi="Arial"/>
                <w:sz w:val="10"/>
                <w:szCs w:val="10"/>
                <w:b w:val="1"/>
                <w:bCs w:val="1"/>
                <w:color w:val="auto"/>
              </w:rPr>
              <w:t>Number</w:t>
            </w: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0"/>
                <w:szCs w:val="10"/>
                <w:b w:val="1"/>
                <w:bCs w:val="1"/>
                <w:color w:val="auto"/>
              </w:rPr>
              <w:t>Value</w:t>
            </w:r>
          </w:p>
        </w:tc>
        <w:tc>
          <w:tcPr>
            <w:tcW w:w="480" w:type="dxa"/>
            <w:vAlign w:val="bottom"/>
          </w:tcPr>
          <w:p>
            <w:pPr>
              <w:spacing w:after="0"/>
              <w:rPr>
                <w:sz w:val="9"/>
                <w:szCs w:val="9"/>
                <w:color w:val="auto"/>
              </w:rPr>
            </w:pPr>
          </w:p>
        </w:tc>
        <w:tc>
          <w:tcPr>
            <w:tcW w:w="480" w:type="dxa"/>
            <w:vAlign w:val="bottom"/>
          </w:tcPr>
          <w:p>
            <w:pPr>
              <w:jc w:val="center"/>
              <w:ind w:left="11"/>
              <w:spacing w:after="0" w:line="110" w:lineRule="exact"/>
              <w:rPr>
                <w:sz w:val="20"/>
                <w:szCs w:val="20"/>
                <w:color w:val="auto"/>
              </w:rPr>
            </w:pPr>
            <w:r>
              <w:rPr>
                <w:rFonts w:ascii="Arial" w:cs="Arial" w:eastAsia="Arial" w:hAnsi="Arial"/>
                <w:sz w:val="10"/>
                <w:szCs w:val="10"/>
                <w:b w:val="1"/>
                <w:bCs w:val="1"/>
                <w:color w:val="auto"/>
              </w:rPr>
              <w:t>Number</w:t>
            </w:r>
          </w:p>
        </w:tc>
        <w:tc>
          <w:tcPr>
            <w:tcW w:w="580" w:type="dxa"/>
            <w:vAlign w:val="bottom"/>
            <w:gridSpan w:val="2"/>
          </w:tcPr>
          <w:p>
            <w:pPr>
              <w:jc w:val="right"/>
              <w:ind w:right="20"/>
              <w:spacing w:after="0" w:line="110" w:lineRule="exact"/>
              <w:rPr>
                <w:sz w:val="20"/>
                <w:szCs w:val="20"/>
                <w:color w:val="auto"/>
              </w:rPr>
            </w:pPr>
            <w:r>
              <w:rPr>
                <w:rFonts w:ascii="Arial" w:cs="Arial" w:eastAsia="Arial" w:hAnsi="Arial"/>
                <w:sz w:val="10"/>
                <w:szCs w:val="10"/>
                <w:b w:val="1"/>
                <w:bCs w:val="1"/>
                <w:color w:val="auto"/>
              </w:rPr>
              <w:t>Value</w:t>
            </w:r>
          </w:p>
        </w:tc>
      </w:tr>
      <w:tr>
        <w:trPr>
          <w:trHeight w:val="118"/>
        </w:trPr>
        <w:tc>
          <w:tcPr>
            <w:tcW w:w="3020" w:type="dxa"/>
            <w:vAlign w:val="bottom"/>
            <w:tcBorders>
              <w:bottom w:val="single" w:sz="8" w:color="00B2E5"/>
            </w:tcBorders>
            <w:gridSpan w:val="2"/>
          </w:tcPr>
          <w:p>
            <w:pPr>
              <w:spacing w:after="0"/>
              <w:rPr>
                <w:sz w:val="20"/>
                <w:szCs w:val="20"/>
                <w:color w:val="auto"/>
              </w:rPr>
            </w:pPr>
            <w:r>
              <w:rPr>
                <w:rFonts w:ascii="Arial" w:cs="Arial" w:eastAsia="Arial" w:hAnsi="Arial"/>
                <w:sz w:val="10"/>
                <w:szCs w:val="10"/>
                <w:b w:val="1"/>
                <w:bCs w:val="1"/>
                <w:color w:val="auto"/>
              </w:rPr>
              <w:t>Name</w:t>
            </w:r>
          </w:p>
        </w:tc>
        <w:tc>
          <w:tcPr>
            <w:tcW w:w="640" w:type="dxa"/>
            <w:vAlign w:val="bottom"/>
            <w:tcBorders>
              <w:bottom w:val="single" w:sz="8" w:color="00B2E5"/>
            </w:tcBorders>
          </w:tcPr>
          <w:p>
            <w:pPr>
              <w:jc w:val="right"/>
              <w:ind w:right="11"/>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00B2E5"/>
            </w:tcBorders>
          </w:tcPr>
          <w:p>
            <w:pPr>
              <w:jc w:val="right"/>
              <w:ind w:right="31"/>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00B2E5"/>
            </w:tcBorders>
          </w:tcPr>
          <w:p>
            <w:pPr>
              <w:jc w:val="right"/>
              <w:ind w:right="11"/>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B2E5"/>
            </w:tcBorders>
            <w:gridSpan w:val="2"/>
          </w:tcPr>
          <w:p>
            <w:pPr>
              <w:jc w:val="right"/>
              <w:ind w:right="140"/>
              <w:spacing w:after="0"/>
              <w:rPr>
                <w:sz w:val="20"/>
                <w:szCs w:val="20"/>
                <w:color w:val="auto"/>
              </w:rPr>
            </w:pPr>
            <w:r>
              <w:rPr>
                <w:rFonts w:ascii="Arial" w:cs="Arial" w:eastAsia="Arial" w:hAnsi="Arial"/>
                <w:sz w:val="10"/>
                <w:szCs w:val="10"/>
                <w:b w:val="1"/>
                <w:bCs w:val="1"/>
                <w:color w:val="auto"/>
              </w:rPr>
              <w:t>Date</w:t>
            </w:r>
          </w:p>
        </w:tc>
        <w:tc>
          <w:tcPr>
            <w:tcW w:w="460" w:type="dxa"/>
            <w:vAlign w:val="bottom"/>
            <w:tcBorders>
              <w:bottom w:val="single" w:sz="8" w:color="00B2E5"/>
            </w:tcBorders>
          </w:tcPr>
          <w:p>
            <w:pPr>
              <w:spacing w:after="0"/>
              <w:rPr>
                <w:sz w:val="10"/>
                <w:szCs w:val="10"/>
                <w:color w:val="auto"/>
              </w:rPr>
            </w:pPr>
          </w:p>
        </w:tc>
        <w:tc>
          <w:tcPr>
            <w:tcW w:w="600" w:type="dxa"/>
            <w:vAlign w:val="bottom"/>
            <w:tcBorders>
              <w:bottom w:val="single" w:sz="8" w:color="00B2E5"/>
            </w:tcBorders>
          </w:tcPr>
          <w:p>
            <w:pPr>
              <w:jc w:val="center"/>
              <w:ind w:left="151"/>
              <w:spacing w:after="0"/>
              <w:rPr>
                <w:sz w:val="20"/>
                <w:szCs w:val="20"/>
                <w:color w:val="auto"/>
              </w:rPr>
            </w:pPr>
            <w:r>
              <w:rPr>
                <w:rFonts w:ascii="Arial" w:cs="Arial" w:eastAsia="Arial" w:hAnsi="Arial"/>
                <w:sz w:val="10"/>
                <w:szCs w:val="10"/>
                <w:b w:val="1"/>
                <w:bCs w:val="1"/>
                <w:color w:val="auto"/>
                <w:w w:val="97"/>
              </w:rPr>
              <w:t>(#)(1)</w:t>
            </w:r>
          </w:p>
        </w:tc>
        <w:tc>
          <w:tcPr>
            <w:tcW w:w="780" w:type="dxa"/>
            <w:vAlign w:val="bottom"/>
            <w:tcBorders>
              <w:bottom w:val="single" w:sz="8" w:color="00B2E5"/>
            </w:tcBorders>
            <w:gridSpan w:val="2"/>
          </w:tcPr>
          <w:p>
            <w:pPr>
              <w:jc w:val="right"/>
              <w:ind w:right="140"/>
              <w:spacing w:after="0"/>
              <w:rPr>
                <w:sz w:val="20"/>
                <w:szCs w:val="20"/>
                <w:color w:val="auto"/>
              </w:rPr>
            </w:pPr>
            <w:r>
              <w:rPr>
                <w:rFonts w:ascii="Arial" w:cs="Arial" w:eastAsia="Arial" w:hAnsi="Arial"/>
                <w:sz w:val="10"/>
                <w:szCs w:val="10"/>
                <w:b w:val="1"/>
                <w:bCs w:val="1"/>
                <w:color w:val="auto"/>
              </w:rPr>
              <w:t>($)(2)</w:t>
            </w:r>
          </w:p>
        </w:tc>
        <w:tc>
          <w:tcPr>
            <w:tcW w:w="480" w:type="dxa"/>
            <w:vAlign w:val="bottom"/>
            <w:tcBorders>
              <w:bottom w:val="single" w:sz="8" w:color="00B2E5"/>
            </w:tcBorders>
          </w:tcPr>
          <w:p>
            <w:pPr>
              <w:spacing w:after="0"/>
              <w:rPr>
                <w:sz w:val="10"/>
                <w:szCs w:val="10"/>
                <w:color w:val="auto"/>
              </w:rPr>
            </w:pPr>
          </w:p>
        </w:tc>
        <w:tc>
          <w:tcPr>
            <w:tcW w:w="480" w:type="dxa"/>
            <w:vAlign w:val="bottom"/>
            <w:tcBorders>
              <w:bottom w:val="single" w:sz="8" w:color="00B2E5"/>
            </w:tcBorders>
          </w:tcPr>
          <w:p>
            <w:pPr>
              <w:jc w:val="right"/>
              <w:spacing w:after="0"/>
              <w:rPr>
                <w:sz w:val="20"/>
                <w:szCs w:val="20"/>
                <w:color w:val="auto"/>
              </w:rPr>
            </w:pPr>
            <w:r>
              <w:rPr>
                <w:rFonts w:ascii="Arial" w:cs="Arial" w:eastAsia="Arial" w:hAnsi="Arial"/>
                <w:sz w:val="10"/>
                <w:szCs w:val="10"/>
                <w:b w:val="1"/>
                <w:bCs w:val="1"/>
                <w:color w:val="auto"/>
              </w:rPr>
              <w:t>(#)(3)</w:t>
            </w:r>
          </w:p>
        </w:tc>
        <w:tc>
          <w:tcPr>
            <w:tcW w:w="560" w:type="dxa"/>
            <w:vAlign w:val="bottom"/>
            <w:tcBorders>
              <w:bottom w:val="single" w:sz="8" w:color="00B2E5"/>
            </w:tcBorders>
          </w:tcPr>
          <w:p>
            <w:pPr>
              <w:jc w:val="right"/>
              <w:spacing w:after="0"/>
              <w:rPr>
                <w:sz w:val="20"/>
                <w:szCs w:val="20"/>
                <w:color w:val="auto"/>
              </w:rPr>
            </w:pPr>
            <w:r>
              <w:rPr>
                <w:rFonts w:ascii="Arial" w:cs="Arial" w:eastAsia="Arial" w:hAnsi="Arial"/>
                <w:sz w:val="10"/>
                <w:szCs w:val="10"/>
                <w:b w:val="1"/>
                <w:bCs w:val="1"/>
                <w:color w:val="auto"/>
              </w:rPr>
              <w:t>($)(4)</w:t>
            </w:r>
          </w:p>
        </w:tc>
        <w:tc>
          <w:tcPr>
            <w:tcW w:w="20" w:type="dxa"/>
            <w:vAlign w:val="bottom"/>
          </w:tcPr>
          <w:p>
            <w:pPr>
              <w:spacing w:after="0"/>
              <w:rPr>
                <w:sz w:val="10"/>
                <w:szCs w:val="10"/>
                <w:color w:val="auto"/>
              </w:rPr>
            </w:pPr>
          </w:p>
        </w:tc>
      </w:tr>
      <w:tr>
        <w:trPr>
          <w:trHeight w:val="128"/>
        </w:trPr>
        <w:tc>
          <w:tcPr>
            <w:tcW w:w="3020" w:type="dxa"/>
            <w:vAlign w:val="bottom"/>
            <w:gridSpan w:val="2"/>
          </w:tcPr>
          <w:p>
            <w:pPr>
              <w:spacing w:after="0"/>
              <w:rPr>
                <w:sz w:val="20"/>
                <w:szCs w:val="20"/>
                <w:color w:val="auto"/>
              </w:rPr>
            </w:pPr>
            <w:r>
              <w:rPr>
                <w:rFonts w:ascii="Arial" w:cs="Arial" w:eastAsia="Arial" w:hAnsi="Arial"/>
                <w:sz w:val="10"/>
                <w:szCs w:val="10"/>
                <w:color w:val="auto"/>
              </w:rPr>
              <w:t>W. Troy Rudd</w:t>
            </w:r>
          </w:p>
        </w:tc>
        <w:tc>
          <w:tcPr>
            <w:tcW w:w="640" w:type="dxa"/>
            <w:vAlign w:val="bottom"/>
          </w:tcPr>
          <w:p>
            <w:pPr>
              <w:spacing w:after="0"/>
              <w:rPr>
                <w:sz w:val="11"/>
                <w:szCs w:val="11"/>
                <w:color w:val="auto"/>
              </w:rPr>
            </w:pPr>
          </w:p>
        </w:tc>
        <w:tc>
          <w:tcPr>
            <w:tcW w:w="740" w:type="dxa"/>
            <w:vAlign w:val="bottom"/>
          </w:tcPr>
          <w:p>
            <w:pPr>
              <w:jc w:val="right"/>
              <w:ind w:right="131"/>
              <w:spacing w:after="0"/>
              <w:rPr>
                <w:sz w:val="20"/>
                <w:szCs w:val="20"/>
                <w:color w:val="auto"/>
              </w:rPr>
            </w:pPr>
            <w:r>
              <w:rPr>
                <w:rFonts w:ascii="Arial" w:cs="Arial" w:eastAsia="Arial" w:hAnsi="Arial"/>
                <w:sz w:val="10"/>
                <w:szCs w:val="10"/>
                <w:color w:val="auto"/>
              </w:rPr>
              <w:t>265,487(5)</w:t>
            </w: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$38.72</w:t>
            </w:r>
          </w:p>
        </w:tc>
        <w:tc>
          <w:tcPr>
            <w:tcW w:w="560" w:type="dxa"/>
            <w:vAlign w:val="bottom"/>
          </w:tcPr>
          <w:p>
            <w:pPr>
              <w:jc w:val="right"/>
              <w:spacing w:after="0"/>
              <w:rPr>
                <w:sz w:val="20"/>
                <w:szCs w:val="20"/>
                <w:color w:val="auto"/>
              </w:rPr>
            </w:pPr>
            <w:r>
              <w:rPr>
                <w:rFonts w:ascii="Arial" w:cs="Arial" w:eastAsia="Arial" w:hAnsi="Arial"/>
                <w:sz w:val="10"/>
                <w:szCs w:val="10"/>
                <w:color w:val="auto"/>
              </w:rPr>
              <w:t>8/15/2027</w:t>
            </w:r>
          </w:p>
        </w:tc>
        <w:tc>
          <w:tcPr>
            <w:tcW w:w="14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Arial" w:cs="Arial" w:eastAsia="Arial" w:hAnsi="Arial"/>
                <w:sz w:val="10"/>
                <w:szCs w:val="10"/>
                <w:color w:val="auto"/>
                <w:w w:val="96"/>
              </w:rPr>
              <w:t>RSU2021</w:t>
            </w:r>
          </w:p>
        </w:tc>
        <w:tc>
          <w:tcPr>
            <w:tcW w:w="600" w:type="dxa"/>
            <w:vAlign w:val="bottom"/>
          </w:tcPr>
          <w:p>
            <w:pPr>
              <w:jc w:val="right"/>
              <w:ind w:right="111"/>
              <w:spacing w:after="0"/>
              <w:rPr>
                <w:sz w:val="20"/>
                <w:szCs w:val="20"/>
                <w:color w:val="auto"/>
              </w:rPr>
            </w:pPr>
            <w:r>
              <w:rPr>
                <w:rFonts w:ascii="Arial" w:cs="Arial" w:eastAsia="Arial" w:hAnsi="Arial"/>
                <w:sz w:val="10"/>
                <w:szCs w:val="10"/>
                <w:color w:val="auto"/>
              </w:rPr>
              <w:t>49,071</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$2,053,131</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7"/>
        </w:trPr>
        <w:tc>
          <w:tcPr>
            <w:tcW w:w="1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Arial" w:cs="Arial" w:eastAsia="Arial" w:hAnsi="Arial"/>
                <w:sz w:val="10"/>
                <w:szCs w:val="10"/>
                <w:color w:val="auto"/>
                <w:w w:val="96"/>
              </w:rPr>
              <w:t>RSU2020</w:t>
            </w:r>
          </w:p>
        </w:tc>
        <w:tc>
          <w:tcPr>
            <w:tcW w:w="600" w:type="dxa"/>
            <w:vAlign w:val="bottom"/>
          </w:tcPr>
          <w:p>
            <w:pPr>
              <w:jc w:val="right"/>
              <w:ind w:right="111"/>
              <w:spacing w:after="0"/>
              <w:rPr>
                <w:sz w:val="20"/>
                <w:szCs w:val="20"/>
                <w:color w:val="auto"/>
              </w:rPr>
            </w:pPr>
            <w:r>
              <w:rPr>
                <w:rFonts w:ascii="Arial" w:cs="Arial" w:eastAsia="Arial" w:hAnsi="Arial"/>
                <w:sz w:val="10"/>
                <w:szCs w:val="10"/>
                <w:color w:val="auto"/>
              </w:rPr>
              <w:t>23,224</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$971,692</w:t>
            </w:r>
          </w:p>
        </w:tc>
        <w:tc>
          <w:tcPr>
            <w:tcW w:w="14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PEP2020</w:t>
            </w:r>
          </w:p>
        </w:tc>
        <w:tc>
          <w:tcPr>
            <w:tcW w:w="480" w:type="dxa"/>
            <w:vAlign w:val="bottom"/>
          </w:tcPr>
          <w:p>
            <w:pPr>
              <w:jc w:val="right"/>
              <w:spacing w:after="0"/>
              <w:rPr>
                <w:sz w:val="20"/>
                <w:szCs w:val="20"/>
                <w:color w:val="auto"/>
              </w:rPr>
            </w:pPr>
            <w:r>
              <w:rPr>
                <w:rFonts w:ascii="Arial" w:cs="Arial" w:eastAsia="Arial" w:hAnsi="Arial"/>
                <w:sz w:val="10"/>
                <w:szCs w:val="10"/>
                <w:color w:val="auto"/>
              </w:rPr>
              <w:t>34,836</w:t>
            </w:r>
          </w:p>
        </w:tc>
        <w:tc>
          <w:tcPr>
            <w:tcW w:w="560" w:type="dxa"/>
            <w:vAlign w:val="bottom"/>
          </w:tcPr>
          <w:p>
            <w:pPr>
              <w:jc w:val="right"/>
              <w:spacing w:after="0"/>
              <w:rPr>
                <w:sz w:val="20"/>
                <w:szCs w:val="20"/>
                <w:color w:val="auto"/>
              </w:rPr>
            </w:pPr>
            <w:r>
              <w:rPr>
                <w:rFonts w:ascii="Arial" w:cs="Arial" w:eastAsia="Arial" w:hAnsi="Arial"/>
                <w:sz w:val="10"/>
                <w:szCs w:val="10"/>
                <w:color w:val="auto"/>
              </w:rPr>
              <w:t>$1,457,538</w:t>
            </w:r>
          </w:p>
        </w:tc>
        <w:tc>
          <w:tcPr>
            <w:tcW w:w="20" w:type="dxa"/>
            <w:vAlign w:val="bottom"/>
          </w:tcPr>
          <w:p>
            <w:pPr>
              <w:spacing w:after="0"/>
              <w:rPr>
                <w:sz w:val="11"/>
                <w:szCs w:val="11"/>
                <w:color w:val="auto"/>
              </w:rPr>
            </w:pPr>
          </w:p>
        </w:tc>
      </w:tr>
      <w:tr>
        <w:trPr>
          <w:trHeight w:val="146"/>
        </w:trPr>
        <w:tc>
          <w:tcPr>
            <w:tcW w:w="1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0"/>
                <w:szCs w:val="10"/>
                <w:color w:val="auto"/>
                <w:w w:val="96"/>
              </w:rPr>
              <w:t>RSU2019</w:t>
            </w:r>
          </w:p>
        </w:tc>
        <w:tc>
          <w:tcPr>
            <w:tcW w:w="600" w:type="dxa"/>
            <w:vAlign w:val="bottom"/>
          </w:tcPr>
          <w:p>
            <w:pPr>
              <w:jc w:val="right"/>
              <w:ind w:right="111"/>
              <w:spacing w:after="0"/>
              <w:rPr>
                <w:sz w:val="20"/>
                <w:szCs w:val="20"/>
                <w:color w:val="auto"/>
              </w:rPr>
            </w:pPr>
            <w:r>
              <w:rPr>
                <w:rFonts w:ascii="Arial" w:cs="Arial" w:eastAsia="Arial" w:hAnsi="Arial"/>
                <w:sz w:val="10"/>
                <w:szCs w:val="10"/>
                <w:color w:val="auto"/>
              </w:rPr>
              <w:t>32,000</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$1,338,880</w:t>
            </w:r>
          </w:p>
        </w:tc>
        <w:tc>
          <w:tcPr>
            <w:tcW w:w="140" w:type="dxa"/>
            <w:vAlign w:val="bottom"/>
          </w:tcPr>
          <w:p>
            <w:pPr>
              <w:spacing w:after="0"/>
              <w:rPr>
                <w:sz w:val="12"/>
                <w:szCs w:val="12"/>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PEP2019</w:t>
            </w:r>
          </w:p>
        </w:tc>
        <w:tc>
          <w:tcPr>
            <w:tcW w:w="480" w:type="dxa"/>
            <w:vAlign w:val="bottom"/>
          </w:tcPr>
          <w:p>
            <w:pPr>
              <w:jc w:val="right"/>
              <w:spacing w:after="0"/>
              <w:rPr>
                <w:sz w:val="20"/>
                <w:szCs w:val="20"/>
                <w:color w:val="auto"/>
              </w:rPr>
            </w:pPr>
            <w:r>
              <w:rPr>
                <w:rFonts w:ascii="Arial" w:cs="Arial" w:eastAsia="Arial" w:hAnsi="Arial"/>
                <w:sz w:val="10"/>
                <w:szCs w:val="10"/>
                <w:color w:val="auto"/>
              </w:rPr>
              <w:t>48,000</w:t>
            </w:r>
          </w:p>
        </w:tc>
        <w:tc>
          <w:tcPr>
            <w:tcW w:w="560" w:type="dxa"/>
            <w:vAlign w:val="bottom"/>
          </w:tcPr>
          <w:p>
            <w:pPr>
              <w:jc w:val="right"/>
              <w:spacing w:after="0"/>
              <w:rPr>
                <w:sz w:val="20"/>
                <w:szCs w:val="20"/>
                <w:color w:val="auto"/>
              </w:rPr>
            </w:pPr>
            <w:r>
              <w:rPr>
                <w:rFonts w:ascii="Arial" w:cs="Arial" w:eastAsia="Arial" w:hAnsi="Arial"/>
                <w:sz w:val="10"/>
                <w:szCs w:val="10"/>
                <w:color w:val="auto"/>
              </w:rPr>
              <w:t>$2,008,320</w:t>
            </w:r>
          </w:p>
        </w:tc>
        <w:tc>
          <w:tcPr>
            <w:tcW w:w="20" w:type="dxa"/>
            <w:vAlign w:val="bottom"/>
          </w:tcPr>
          <w:p>
            <w:pPr>
              <w:spacing w:after="0"/>
              <w:rPr>
                <w:sz w:val="12"/>
                <w:szCs w:val="12"/>
                <w:color w:val="auto"/>
              </w:rPr>
            </w:pPr>
          </w:p>
        </w:tc>
      </w:tr>
      <w:tr>
        <w:trPr>
          <w:trHeight w:val="146"/>
        </w:trPr>
        <w:tc>
          <w:tcPr>
            <w:tcW w:w="1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0"/>
                <w:szCs w:val="10"/>
                <w:color w:val="auto"/>
                <w:w w:val="96"/>
              </w:rPr>
              <w:t>RSU2018</w:t>
            </w:r>
          </w:p>
        </w:tc>
        <w:tc>
          <w:tcPr>
            <w:tcW w:w="600" w:type="dxa"/>
            <w:vAlign w:val="bottom"/>
          </w:tcPr>
          <w:p>
            <w:pPr>
              <w:jc w:val="right"/>
              <w:ind w:right="111"/>
              <w:spacing w:after="0"/>
              <w:rPr>
                <w:sz w:val="20"/>
                <w:szCs w:val="20"/>
                <w:color w:val="auto"/>
              </w:rPr>
            </w:pPr>
            <w:r>
              <w:rPr>
                <w:rFonts w:ascii="Arial" w:cs="Arial" w:eastAsia="Arial" w:hAnsi="Arial"/>
                <w:sz w:val="10"/>
                <w:szCs w:val="10"/>
                <w:color w:val="auto"/>
              </w:rPr>
              <w:t>21,663</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$906,380</w:t>
            </w:r>
          </w:p>
        </w:tc>
        <w:tc>
          <w:tcPr>
            <w:tcW w:w="140" w:type="dxa"/>
            <w:vAlign w:val="bottom"/>
          </w:tcPr>
          <w:p>
            <w:pPr>
              <w:spacing w:after="0"/>
              <w:rPr>
                <w:sz w:val="12"/>
                <w:szCs w:val="12"/>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PEP2018</w:t>
            </w:r>
          </w:p>
        </w:tc>
        <w:tc>
          <w:tcPr>
            <w:tcW w:w="480" w:type="dxa"/>
            <w:vAlign w:val="bottom"/>
          </w:tcPr>
          <w:p>
            <w:pPr>
              <w:jc w:val="right"/>
              <w:spacing w:after="0"/>
              <w:rPr>
                <w:sz w:val="20"/>
                <w:szCs w:val="20"/>
                <w:color w:val="auto"/>
              </w:rPr>
            </w:pPr>
            <w:r>
              <w:rPr>
                <w:rFonts w:ascii="Arial" w:cs="Arial" w:eastAsia="Arial" w:hAnsi="Arial"/>
                <w:sz w:val="10"/>
                <w:szCs w:val="10"/>
                <w:color w:val="auto"/>
              </w:rPr>
              <w:t>35,256</w:t>
            </w:r>
          </w:p>
        </w:tc>
        <w:tc>
          <w:tcPr>
            <w:tcW w:w="560" w:type="dxa"/>
            <w:vAlign w:val="bottom"/>
          </w:tcPr>
          <w:p>
            <w:pPr>
              <w:jc w:val="right"/>
              <w:spacing w:after="0"/>
              <w:rPr>
                <w:sz w:val="20"/>
                <w:szCs w:val="20"/>
                <w:color w:val="auto"/>
              </w:rPr>
            </w:pPr>
            <w:r>
              <w:rPr>
                <w:rFonts w:ascii="Arial" w:cs="Arial" w:eastAsia="Arial" w:hAnsi="Arial"/>
                <w:sz w:val="10"/>
                <w:szCs w:val="10"/>
                <w:color w:val="auto"/>
              </w:rPr>
              <w:t>$1,475,111</w:t>
            </w:r>
          </w:p>
        </w:tc>
        <w:tc>
          <w:tcPr>
            <w:tcW w:w="20" w:type="dxa"/>
            <w:vAlign w:val="bottom"/>
          </w:tcPr>
          <w:p>
            <w:pPr>
              <w:spacing w:after="0"/>
              <w:rPr>
                <w:sz w:val="12"/>
                <w:szCs w:val="12"/>
                <w:color w:val="auto"/>
              </w:rPr>
            </w:pPr>
          </w:p>
        </w:tc>
      </w:tr>
      <w:tr>
        <w:trPr>
          <w:trHeight w:val="219"/>
        </w:trPr>
        <w:tc>
          <w:tcPr>
            <w:tcW w:w="3020" w:type="dxa"/>
            <w:vAlign w:val="bottom"/>
            <w:gridSpan w:val="2"/>
          </w:tcPr>
          <w:p>
            <w:pPr>
              <w:spacing w:after="0"/>
              <w:rPr>
                <w:sz w:val="20"/>
                <w:szCs w:val="20"/>
                <w:color w:val="auto"/>
              </w:rPr>
            </w:pPr>
            <w:r>
              <w:rPr>
                <w:rFonts w:ascii="Arial" w:cs="Arial" w:eastAsia="Arial" w:hAnsi="Arial"/>
                <w:sz w:val="10"/>
                <w:szCs w:val="10"/>
                <w:color w:val="auto"/>
              </w:rPr>
              <w:t>Gaurav Kapoor</w:t>
            </w:r>
          </w:p>
        </w:tc>
        <w:tc>
          <w:tcPr>
            <w:tcW w:w="640" w:type="dxa"/>
            <w:vAlign w:val="bottom"/>
          </w:tcPr>
          <w:p>
            <w:pPr>
              <w:spacing w:after="0"/>
              <w:rPr>
                <w:sz w:val="20"/>
                <w:szCs w:val="20"/>
                <w:color w:val="auto"/>
              </w:rPr>
            </w:pPr>
            <w:r>
              <w:rPr>
                <w:rFonts w:ascii="Arial" w:cs="Arial" w:eastAsia="Arial" w:hAnsi="Arial"/>
                <w:sz w:val="10"/>
                <w:szCs w:val="10"/>
                <w:color w:val="auto"/>
              </w:rPr>
              <w:t>N/A</w:t>
            </w:r>
          </w:p>
        </w:tc>
        <w:tc>
          <w:tcPr>
            <w:tcW w:w="740" w:type="dxa"/>
            <w:vAlign w:val="bottom"/>
          </w:tcPr>
          <w:p>
            <w:pPr>
              <w:spacing w:after="0"/>
              <w:rPr>
                <w:sz w:val="19"/>
                <w:szCs w:val="19"/>
                <w:color w:val="auto"/>
              </w:rPr>
            </w:pP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N/A</w:t>
            </w: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N/A</w:t>
            </w:r>
          </w:p>
        </w:tc>
        <w:tc>
          <w:tcPr>
            <w:tcW w:w="460" w:type="dxa"/>
            <w:vAlign w:val="bottom"/>
          </w:tcPr>
          <w:p>
            <w:pPr>
              <w:ind w:left="20"/>
              <w:spacing w:after="0"/>
              <w:rPr>
                <w:sz w:val="20"/>
                <w:szCs w:val="20"/>
                <w:color w:val="auto"/>
              </w:rPr>
            </w:pPr>
            <w:r>
              <w:rPr>
                <w:rFonts w:ascii="Arial" w:cs="Arial" w:eastAsia="Arial" w:hAnsi="Arial"/>
                <w:sz w:val="10"/>
                <w:szCs w:val="10"/>
                <w:color w:val="auto"/>
                <w:w w:val="96"/>
              </w:rPr>
              <w:t>RSU2020</w:t>
            </w:r>
          </w:p>
        </w:tc>
        <w:tc>
          <w:tcPr>
            <w:tcW w:w="600" w:type="dxa"/>
            <w:vAlign w:val="bottom"/>
          </w:tcPr>
          <w:p>
            <w:pPr>
              <w:jc w:val="right"/>
              <w:ind w:right="111"/>
              <w:spacing w:after="0"/>
              <w:rPr>
                <w:sz w:val="20"/>
                <w:szCs w:val="20"/>
                <w:color w:val="auto"/>
              </w:rPr>
            </w:pPr>
            <w:r>
              <w:rPr>
                <w:rFonts w:ascii="Arial" w:cs="Arial" w:eastAsia="Arial" w:hAnsi="Arial"/>
                <w:sz w:val="10"/>
                <w:szCs w:val="10"/>
                <w:color w:val="auto"/>
              </w:rPr>
              <w:t>6,968</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$291,541</w:t>
            </w:r>
          </w:p>
        </w:tc>
        <w:tc>
          <w:tcPr>
            <w:tcW w:w="14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PEP2020</w:t>
            </w:r>
          </w:p>
        </w:tc>
        <w:tc>
          <w:tcPr>
            <w:tcW w:w="480" w:type="dxa"/>
            <w:vAlign w:val="bottom"/>
          </w:tcPr>
          <w:p>
            <w:pPr>
              <w:jc w:val="right"/>
              <w:spacing w:after="0"/>
              <w:rPr>
                <w:sz w:val="20"/>
                <w:szCs w:val="20"/>
                <w:color w:val="auto"/>
              </w:rPr>
            </w:pPr>
            <w:r>
              <w:rPr>
                <w:rFonts w:ascii="Arial" w:cs="Arial" w:eastAsia="Arial" w:hAnsi="Arial"/>
                <w:sz w:val="10"/>
                <w:szCs w:val="10"/>
                <w:color w:val="auto"/>
              </w:rPr>
              <w:t>6,968</w:t>
            </w:r>
          </w:p>
        </w:tc>
        <w:tc>
          <w:tcPr>
            <w:tcW w:w="560" w:type="dxa"/>
            <w:vAlign w:val="bottom"/>
          </w:tcPr>
          <w:p>
            <w:pPr>
              <w:jc w:val="right"/>
              <w:spacing w:after="0"/>
              <w:rPr>
                <w:sz w:val="20"/>
                <w:szCs w:val="20"/>
                <w:color w:val="auto"/>
              </w:rPr>
            </w:pPr>
            <w:r>
              <w:rPr>
                <w:rFonts w:ascii="Arial" w:cs="Arial" w:eastAsia="Arial" w:hAnsi="Arial"/>
                <w:sz w:val="10"/>
                <w:szCs w:val="10"/>
                <w:color w:val="auto"/>
              </w:rPr>
              <w:t>$291,541</w:t>
            </w:r>
          </w:p>
        </w:tc>
        <w:tc>
          <w:tcPr>
            <w:tcW w:w="20" w:type="dxa"/>
            <w:vAlign w:val="bottom"/>
          </w:tcPr>
          <w:p>
            <w:pPr>
              <w:spacing w:after="0"/>
              <w:rPr>
                <w:sz w:val="19"/>
                <w:szCs w:val="19"/>
                <w:color w:val="auto"/>
              </w:rPr>
            </w:pPr>
          </w:p>
        </w:tc>
      </w:tr>
      <w:tr>
        <w:trPr>
          <w:trHeight w:val="146"/>
        </w:trPr>
        <w:tc>
          <w:tcPr>
            <w:tcW w:w="1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0"/>
                <w:szCs w:val="10"/>
                <w:color w:val="auto"/>
                <w:w w:val="96"/>
              </w:rPr>
              <w:t>RSU2019</w:t>
            </w:r>
          </w:p>
        </w:tc>
        <w:tc>
          <w:tcPr>
            <w:tcW w:w="600" w:type="dxa"/>
            <w:vAlign w:val="bottom"/>
          </w:tcPr>
          <w:p>
            <w:pPr>
              <w:jc w:val="right"/>
              <w:ind w:right="111"/>
              <w:spacing w:after="0"/>
              <w:rPr>
                <w:sz w:val="20"/>
                <w:szCs w:val="20"/>
                <w:color w:val="auto"/>
              </w:rPr>
            </w:pPr>
            <w:r>
              <w:rPr>
                <w:rFonts w:ascii="Arial" w:cs="Arial" w:eastAsia="Arial" w:hAnsi="Arial"/>
                <w:sz w:val="10"/>
                <w:szCs w:val="10"/>
                <w:color w:val="auto"/>
              </w:rPr>
              <w:t>8,637</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$361,372</w:t>
            </w:r>
          </w:p>
        </w:tc>
        <w:tc>
          <w:tcPr>
            <w:tcW w:w="140" w:type="dxa"/>
            <w:vAlign w:val="bottom"/>
          </w:tcPr>
          <w:p>
            <w:pPr>
              <w:spacing w:after="0"/>
              <w:rPr>
                <w:sz w:val="12"/>
                <w:szCs w:val="12"/>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PEP2019</w:t>
            </w:r>
          </w:p>
        </w:tc>
        <w:tc>
          <w:tcPr>
            <w:tcW w:w="480" w:type="dxa"/>
            <w:vAlign w:val="bottom"/>
          </w:tcPr>
          <w:p>
            <w:pPr>
              <w:jc w:val="right"/>
              <w:spacing w:after="0"/>
              <w:rPr>
                <w:sz w:val="20"/>
                <w:szCs w:val="20"/>
                <w:color w:val="auto"/>
              </w:rPr>
            </w:pPr>
            <w:r>
              <w:rPr>
                <w:rFonts w:ascii="Arial" w:cs="Arial" w:eastAsia="Arial" w:hAnsi="Arial"/>
                <w:sz w:val="10"/>
                <w:szCs w:val="10"/>
                <w:color w:val="auto"/>
              </w:rPr>
              <w:t>8,637</w:t>
            </w:r>
          </w:p>
        </w:tc>
        <w:tc>
          <w:tcPr>
            <w:tcW w:w="560" w:type="dxa"/>
            <w:vAlign w:val="bottom"/>
          </w:tcPr>
          <w:p>
            <w:pPr>
              <w:jc w:val="right"/>
              <w:spacing w:after="0"/>
              <w:rPr>
                <w:sz w:val="20"/>
                <w:szCs w:val="20"/>
                <w:color w:val="auto"/>
              </w:rPr>
            </w:pPr>
            <w:r>
              <w:rPr>
                <w:rFonts w:ascii="Arial" w:cs="Arial" w:eastAsia="Arial" w:hAnsi="Arial"/>
                <w:sz w:val="10"/>
                <w:szCs w:val="10"/>
                <w:color w:val="auto"/>
              </w:rPr>
              <w:t>$361,372</w:t>
            </w:r>
          </w:p>
        </w:tc>
        <w:tc>
          <w:tcPr>
            <w:tcW w:w="20" w:type="dxa"/>
            <w:vAlign w:val="bottom"/>
          </w:tcPr>
          <w:p>
            <w:pPr>
              <w:spacing w:after="0"/>
              <w:rPr>
                <w:sz w:val="12"/>
                <w:szCs w:val="12"/>
                <w:color w:val="auto"/>
              </w:rPr>
            </w:pPr>
          </w:p>
        </w:tc>
      </w:tr>
      <w:tr>
        <w:trPr>
          <w:trHeight w:val="125"/>
        </w:trPr>
        <w:tc>
          <w:tcPr>
            <w:tcW w:w="16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ind w:left="20"/>
              <w:spacing w:after="0"/>
              <w:rPr>
                <w:sz w:val="20"/>
                <w:szCs w:val="20"/>
                <w:color w:val="auto"/>
              </w:rPr>
            </w:pPr>
            <w:r>
              <w:rPr>
                <w:rFonts w:ascii="Arial" w:cs="Arial" w:eastAsia="Arial" w:hAnsi="Arial"/>
                <w:sz w:val="10"/>
                <w:szCs w:val="10"/>
                <w:color w:val="auto"/>
                <w:w w:val="96"/>
              </w:rPr>
              <w:t>RSU2018</w:t>
            </w:r>
          </w:p>
        </w:tc>
        <w:tc>
          <w:tcPr>
            <w:tcW w:w="600" w:type="dxa"/>
            <w:vAlign w:val="bottom"/>
          </w:tcPr>
          <w:p>
            <w:pPr>
              <w:jc w:val="right"/>
              <w:ind w:right="111"/>
              <w:spacing w:after="0"/>
              <w:rPr>
                <w:sz w:val="20"/>
                <w:szCs w:val="20"/>
                <w:color w:val="auto"/>
              </w:rPr>
            </w:pPr>
            <w:r>
              <w:rPr>
                <w:rFonts w:ascii="Arial" w:cs="Arial" w:eastAsia="Arial" w:hAnsi="Arial"/>
                <w:sz w:val="10"/>
                <w:szCs w:val="10"/>
                <w:color w:val="auto"/>
              </w:rPr>
              <w:t>5,416</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$226,605</w:t>
            </w:r>
          </w:p>
        </w:tc>
        <w:tc>
          <w:tcPr>
            <w:tcW w:w="140" w:type="dxa"/>
            <w:vAlign w:val="bottom"/>
          </w:tcPr>
          <w:p>
            <w:pPr>
              <w:spacing w:after="0"/>
              <w:rPr>
                <w:sz w:val="10"/>
                <w:szCs w:val="10"/>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PEP2018</w:t>
            </w:r>
          </w:p>
        </w:tc>
        <w:tc>
          <w:tcPr>
            <w:tcW w:w="480" w:type="dxa"/>
            <w:vAlign w:val="bottom"/>
          </w:tcPr>
          <w:p>
            <w:pPr>
              <w:jc w:val="right"/>
              <w:spacing w:after="0"/>
              <w:rPr>
                <w:sz w:val="20"/>
                <w:szCs w:val="20"/>
                <w:color w:val="auto"/>
              </w:rPr>
            </w:pPr>
            <w:r>
              <w:rPr>
                <w:rFonts w:ascii="Arial" w:cs="Arial" w:eastAsia="Arial" w:hAnsi="Arial"/>
                <w:sz w:val="10"/>
                <w:szCs w:val="10"/>
                <w:color w:val="auto"/>
              </w:rPr>
              <w:t>5,877</w:t>
            </w:r>
          </w:p>
        </w:tc>
        <w:tc>
          <w:tcPr>
            <w:tcW w:w="560" w:type="dxa"/>
            <w:vAlign w:val="bottom"/>
          </w:tcPr>
          <w:p>
            <w:pPr>
              <w:jc w:val="right"/>
              <w:spacing w:after="0"/>
              <w:rPr>
                <w:sz w:val="20"/>
                <w:szCs w:val="20"/>
                <w:color w:val="auto"/>
              </w:rPr>
            </w:pPr>
            <w:r>
              <w:rPr>
                <w:rFonts w:ascii="Arial" w:cs="Arial" w:eastAsia="Arial" w:hAnsi="Arial"/>
                <w:sz w:val="10"/>
                <w:szCs w:val="10"/>
                <w:color w:val="auto"/>
              </w:rPr>
              <w:t>$245,894</w:t>
            </w:r>
          </w:p>
        </w:tc>
        <w:tc>
          <w:tcPr>
            <w:tcW w:w="20" w:type="dxa"/>
            <w:vAlign w:val="bottom"/>
          </w:tcPr>
          <w:p>
            <w:pPr>
              <w:spacing w:after="0"/>
              <w:rPr>
                <w:sz w:val="10"/>
                <w:szCs w:val="10"/>
                <w:color w:val="auto"/>
              </w:rPr>
            </w:pPr>
          </w:p>
        </w:tc>
      </w:tr>
      <w:tr>
        <w:trPr>
          <w:trHeight w:val="130"/>
        </w:trPr>
        <w:tc>
          <w:tcPr>
            <w:tcW w:w="3020" w:type="dxa"/>
            <w:vAlign w:val="bottom"/>
            <w:gridSpan w:val="2"/>
          </w:tcPr>
          <w:p>
            <w:pPr>
              <w:spacing w:after="0"/>
              <w:rPr>
                <w:sz w:val="20"/>
                <w:szCs w:val="20"/>
                <w:color w:val="auto"/>
              </w:rPr>
            </w:pPr>
            <w:r>
              <w:rPr>
                <w:rFonts w:ascii="Arial" w:cs="Arial" w:eastAsia="Arial" w:hAnsi="Arial"/>
                <w:sz w:val="10"/>
                <w:szCs w:val="10"/>
                <w:color w:val="auto"/>
              </w:rPr>
              <w:t>Lara Poloni</w:t>
            </w:r>
          </w:p>
        </w:tc>
        <w:tc>
          <w:tcPr>
            <w:tcW w:w="640" w:type="dxa"/>
            <w:vAlign w:val="bottom"/>
          </w:tcPr>
          <w:p>
            <w:pPr>
              <w:spacing w:after="0"/>
              <w:rPr>
                <w:sz w:val="20"/>
                <w:szCs w:val="20"/>
                <w:color w:val="auto"/>
              </w:rPr>
            </w:pPr>
            <w:r>
              <w:rPr>
                <w:rFonts w:ascii="Arial" w:cs="Arial" w:eastAsia="Arial" w:hAnsi="Arial"/>
                <w:sz w:val="10"/>
                <w:szCs w:val="10"/>
                <w:color w:val="auto"/>
              </w:rPr>
              <w:t>N/A</w:t>
            </w:r>
          </w:p>
        </w:tc>
        <w:tc>
          <w:tcPr>
            <w:tcW w:w="740" w:type="dxa"/>
            <w:vAlign w:val="bottom"/>
          </w:tcPr>
          <w:p>
            <w:pPr>
              <w:spacing w:after="0"/>
              <w:rPr>
                <w:sz w:val="11"/>
                <w:szCs w:val="11"/>
                <w:color w:val="auto"/>
              </w:rPr>
            </w:pP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N/A</w:t>
            </w: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N/A</w:t>
            </w:r>
          </w:p>
        </w:tc>
        <w:tc>
          <w:tcPr>
            <w:tcW w:w="460" w:type="dxa"/>
            <w:vAlign w:val="bottom"/>
          </w:tcPr>
          <w:p>
            <w:pPr>
              <w:ind w:left="20"/>
              <w:spacing w:after="0"/>
              <w:rPr>
                <w:sz w:val="20"/>
                <w:szCs w:val="20"/>
                <w:color w:val="auto"/>
              </w:rPr>
            </w:pPr>
            <w:r>
              <w:rPr>
                <w:rFonts w:ascii="Arial" w:cs="Arial" w:eastAsia="Arial" w:hAnsi="Arial"/>
                <w:sz w:val="10"/>
                <w:szCs w:val="10"/>
                <w:color w:val="auto"/>
                <w:w w:val="96"/>
              </w:rPr>
              <w:t>RSU2021</w:t>
            </w:r>
          </w:p>
        </w:tc>
        <w:tc>
          <w:tcPr>
            <w:tcW w:w="600" w:type="dxa"/>
            <w:vAlign w:val="bottom"/>
          </w:tcPr>
          <w:p>
            <w:pPr>
              <w:jc w:val="right"/>
              <w:ind w:right="111"/>
              <w:spacing w:after="0"/>
              <w:rPr>
                <w:sz w:val="20"/>
                <w:szCs w:val="20"/>
                <w:color w:val="auto"/>
              </w:rPr>
            </w:pPr>
            <w:r>
              <w:rPr>
                <w:rFonts w:ascii="Arial" w:cs="Arial" w:eastAsia="Arial" w:hAnsi="Arial"/>
                <w:sz w:val="10"/>
                <w:szCs w:val="10"/>
                <w:color w:val="auto"/>
              </w:rPr>
              <w:t>17,821</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$745,631</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6"/>
        </w:trPr>
        <w:tc>
          <w:tcPr>
            <w:tcW w:w="1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0"/>
                <w:szCs w:val="10"/>
                <w:color w:val="auto"/>
                <w:w w:val="96"/>
              </w:rPr>
              <w:t>RSU2020</w:t>
            </w:r>
          </w:p>
        </w:tc>
        <w:tc>
          <w:tcPr>
            <w:tcW w:w="600" w:type="dxa"/>
            <w:vAlign w:val="bottom"/>
          </w:tcPr>
          <w:p>
            <w:pPr>
              <w:jc w:val="right"/>
              <w:ind w:right="111"/>
              <w:spacing w:after="0"/>
              <w:rPr>
                <w:sz w:val="20"/>
                <w:szCs w:val="20"/>
                <w:color w:val="auto"/>
              </w:rPr>
            </w:pPr>
            <w:r>
              <w:rPr>
                <w:rFonts w:ascii="Arial" w:cs="Arial" w:eastAsia="Arial" w:hAnsi="Arial"/>
                <w:sz w:val="10"/>
                <w:szCs w:val="10"/>
                <w:color w:val="auto"/>
              </w:rPr>
              <w:t>9,290</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$388,694</w:t>
            </w:r>
          </w:p>
        </w:tc>
        <w:tc>
          <w:tcPr>
            <w:tcW w:w="140" w:type="dxa"/>
            <w:vAlign w:val="bottom"/>
          </w:tcPr>
          <w:p>
            <w:pPr>
              <w:spacing w:after="0"/>
              <w:rPr>
                <w:sz w:val="12"/>
                <w:szCs w:val="12"/>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PEP2020</w:t>
            </w:r>
          </w:p>
        </w:tc>
        <w:tc>
          <w:tcPr>
            <w:tcW w:w="480" w:type="dxa"/>
            <w:vAlign w:val="bottom"/>
          </w:tcPr>
          <w:p>
            <w:pPr>
              <w:jc w:val="right"/>
              <w:spacing w:after="0"/>
              <w:rPr>
                <w:sz w:val="20"/>
                <w:szCs w:val="20"/>
                <w:color w:val="auto"/>
              </w:rPr>
            </w:pPr>
            <w:r>
              <w:rPr>
                <w:rFonts w:ascii="Arial" w:cs="Arial" w:eastAsia="Arial" w:hAnsi="Arial"/>
                <w:sz w:val="10"/>
                <w:szCs w:val="10"/>
                <w:color w:val="auto"/>
              </w:rPr>
              <w:t>13,935</w:t>
            </w:r>
          </w:p>
        </w:tc>
        <w:tc>
          <w:tcPr>
            <w:tcW w:w="560" w:type="dxa"/>
            <w:vAlign w:val="bottom"/>
          </w:tcPr>
          <w:p>
            <w:pPr>
              <w:jc w:val="right"/>
              <w:spacing w:after="0"/>
              <w:rPr>
                <w:sz w:val="20"/>
                <w:szCs w:val="20"/>
                <w:color w:val="auto"/>
              </w:rPr>
            </w:pPr>
            <w:r>
              <w:rPr>
                <w:rFonts w:ascii="Arial" w:cs="Arial" w:eastAsia="Arial" w:hAnsi="Arial"/>
                <w:sz w:val="10"/>
                <w:szCs w:val="10"/>
                <w:color w:val="auto"/>
              </w:rPr>
              <w:t>$583,040</w:t>
            </w:r>
          </w:p>
        </w:tc>
        <w:tc>
          <w:tcPr>
            <w:tcW w:w="20" w:type="dxa"/>
            <w:vAlign w:val="bottom"/>
          </w:tcPr>
          <w:p>
            <w:pPr>
              <w:spacing w:after="0"/>
              <w:rPr>
                <w:sz w:val="12"/>
                <w:szCs w:val="12"/>
                <w:color w:val="auto"/>
              </w:rPr>
            </w:pPr>
          </w:p>
        </w:tc>
      </w:tr>
      <w:tr>
        <w:trPr>
          <w:trHeight w:val="146"/>
        </w:trPr>
        <w:tc>
          <w:tcPr>
            <w:tcW w:w="1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0"/>
                <w:szCs w:val="10"/>
                <w:color w:val="auto"/>
                <w:w w:val="96"/>
              </w:rPr>
              <w:t>RSU2019</w:t>
            </w:r>
          </w:p>
        </w:tc>
        <w:tc>
          <w:tcPr>
            <w:tcW w:w="600" w:type="dxa"/>
            <w:vAlign w:val="bottom"/>
          </w:tcPr>
          <w:p>
            <w:pPr>
              <w:jc w:val="right"/>
              <w:ind w:right="111"/>
              <w:spacing w:after="0"/>
              <w:rPr>
                <w:sz w:val="20"/>
                <w:szCs w:val="20"/>
                <w:color w:val="auto"/>
              </w:rPr>
            </w:pPr>
            <w:r>
              <w:rPr>
                <w:rFonts w:ascii="Arial" w:cs="Arial" w:eastAsia="Arial" w:hAnsi="Arial"/>
                <w:sz w:val="10"/>
                <w:szCs w:val="10"/>
                <w:color w:val="auto"/>
              </w:rPr>
              <w:t>10,182</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$426,015</w:t>
            </w:r>
          </w:p>
        </w:tc>
        <w:tc>
          <w:tcPr>
            <w:tcW w:w="140" w:type="dxa"/>
            <w:vAlign w:val="bottom"/>
          </w:tcPr>
          <w:p>
            <w:pPr>
              <w:spacing w:after="0"/>
              <w:rPr>
                <w:sz w:val="12"/>
                <w:szCs w:val="12"/>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PEP2019</w:t>
            </w:r>
          </w:p>
        </w:tc>
        <w:tc>
          <w:tcPr>
            <w:tcW w:w="480" w:type="dxa"/>
            <w:vAlign w:val="bottom"/>
          </w:tcPr>
          <w:p>
            <w:pPr>
              <w:jc w:val="right"/>
              <w:spacing w:after="0"/>
              <w:rPr>
                <w:sz w:val="20"/>
                <w:szCs w:val="20"/>
                <w:color w:val="auto"/>
              </w:rPr>
            </w:pPr>
            <w:r>
              <w:rPr>
                <w:rFonts w:ascii="Arial" w:cs="Arial" w:eastAsia="Arial" w:hAnsi="Arial"/>
                <w:sz w:val="10"/>
                <w:szCs w:val="10"/>
                <w:color w:val="auto"/>
              </w:rPr>
              <w:t>15,273</w:t>
            </w:r>
          </w:p>
        </w:tc>
        <w:tc>
          <w:tcPr>
            <w:tcW w:w="560" w:type="dxa"/>
            <w:vAlign w:val="bottom"/>
          </w:tcPr>
          <w:p>
            <w:pPr>
              <w:jc w:val="right"/>
              <w:spacing w:after="0"/>
              <w:rPr>
                <w:sz w:val="20"/>
                <w:szCs w:val="20"/>
                <w:color w:val="auto"/>
              </w:rPr>
            </w:pPr>
            <w:r>
              <w:rPr>
                <w:rFonts w:ascii="Arial" w:cs="Arial" w:eastAsia="Arial" w:hAnsi="Arial"/>
                <w:sz w:val="10"/>
                <w:szCs w:val="10"/>
                <w:color w:val="auto"/>
              </w:rPr>
              <w:t>$639,022</w:t>
            </w:r>
          </w:p>
        </w:tc>
        <w:tc>
          <w:tcPr>
            <w:tcW w:w="20" w:type="dxa"/>
            <w:vAlign w:val="bottom"/>
          </w:tcPr>
          <w:p>
            <w:pPr>
              <w:spacing w:after="0"/>
              <w:rPr>
                <w:sz w:val="12"/>
                <w:szCs w:val="12"/>
                <w:color w:val="auto"/>
              </w:rPr>
            </w:pPr>
          </w:p>
        </w:tc>
      </w:tr>
      <w:tr>
        <w:trPr>
          <w:trHeight w:val="146"/>
        </w:trPr>
        <w:tc>
          <w:tcPr>
            <w:tcW w:w="1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0"/>
                <w:szCs w:val="10"/>
                <w:color w:val="auto"/>
                <w:w w:val="96"/>
              </w:rPr>
              <w:t>RSU2018</w:t>
            </w:r>
          </w:p>
        </w:tc>
        <w:tc>
          <w:tcPr>
            <w:tcW w:w="600" w:type="dxa"/>
            <w:vAlign w:val="bottom"/>
          </w:tcPr>
          <w:p>
            <w:pPr>
              <w:jc w:val="right"/>
              <w:ind w:right="111"/>
              <w:spacing w:after="0"/>
              <w:rPr>
                <w:sz w:val="20"/>
                <w:szCs w:val="20"/>
                <w:color w:val="auto"/>
              </w:rPr>
            </w:pPr>
            <w:r>
              <w:rPr>
                <w:rFonts w:ascii="Arial" w:cs="Arial" w:eastAsia="Arial" w:hAnsi="Arial"/>
                <w:sz w:val="10"/>
                <w:szCs w:val="10"/>
                <w:color w:val="auto"/>
              </w:rPr>
              <w:t>5,416</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$226,605</w:t>
            </w:r>
          </w:p>
        </w:tc>
        <w:tc>
          <w:tcPr>
            <w:tcW w:w="140" w:type="dxa"/>
            <w:vAlign w:val="bottom"/>
          </w:tcPr>
          <w:p>
            <w:pPr>
              <w:spacing w:after="0"/>
              <w:rPr>
                <w:sz w:val="12"/>
                <w:szCs w:val="12"/>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PEP2018</w:t>
            </w:r>
          </w:p>
        </w:tc>
        <w:tc>
          <w:tcPr>
            <w:tcW w:w="480" w:type="dxa"/>
            <w:vAlign w:val="bottom"/>
          </w:tcPr>
          <w:p>
            <w:pPr>
              <w:jc w:val="right"/>
              <w:spacing w:after="0"/>
              <w:rPr>
                <w:sz w:val="20"/>
                <w:szCs w:val="20"/>
                <w:color w:val="auto"/>
              </w:rPr>
            </w:pPr>
            <w:r>
              <w:rPr>
                <w:rFonts w:ascii="Arial" w:cs="Arial" w:eastAsia="Arial" w:hAnsi="Arial"/>
                <w:sz w:val="10"/>
                <w:szCs w:val="10"/>
                <w:color w:val="auto"/>
              </w:rPr>
              <w:t>8,815</w:t>
            </w:r>
          </w:p>
        </w:tc>
        <w:tc>
          <w:tcPr>
            <w:tcW w:w="560" w:type="dxa"/>
            <w:vAlign w:val="bottom"/>
          </w:tcPr>
          <w:p>
            <w:pPr>
              <w:jc w:val="right"/>
              <w:spacing w:after="0"/>
              <w:rPr>
                <w:sz w:val="20"/>
                <w:szCs w:val="20"/>
                <w:color w:val="auto"/>
              </w:rPr>
            </w:pPr>
            <w:r>
              <w:rPr>
                <w:rFonts w:ascii="Arial" w:cs="Arial" w:eastAsia="Arial" w:hAnsi="Arial"/>
                <w:sz w:val="10"/>
                <w:szCs w:val="10"/>
                <w:color w:val="auto"/>
              </w:rPr>
              <w:t>$368,820</w:t>
            </w:r>
          </w:p>
        </w:tc>
        <w:tc>
          <w:tcPr>
            <w:tcW w:w="20" w:type="dxa"/>
            <w:vAlign w:val="bottom"/>
          </w:tcPr>
          <w:p>
            <w:pPr>
              <w:spacing w:after="0"/>
              <w:rPr>
                <w:sz w:val="12"/>
                <w:szCs w:val="12"/>
                <w:color w:val="auto"/>
              </w:rPr>
            </w:pPr>
          </w:p>
        </w:tc>
      </w:tr>
      <w:tr>
        <w:trPr>
          <w:trHeight w:val="219"/>
        </w:trPr>
        <w:tc>
          <w:tcPr>
            <w:tcW w:w="3020" w:type="dxa"/>
            <w:vAlign w:val="bottom"/>
            <w:gridSpan w:val="2"/>
          </w:tcPr>
          <w:p>
            <w:pPr>
              <w:spacing w:after="0"/>
              <w:rPr>
                <w:sz w:val="20"/>
                <w:szCs w:val="20"/>
                <w:color w:val="auto"/>
              </w:rPr>
            </w:pPr>
            <w:r>
              <w:rPr>
                <w:rFonts w:ascii="Arial" w:cs="Arial" w:eastAsia="Arial" w:hAnsi="Arial"/>
                <w:sz w:val="10"/>
                <w:szCs w:val="10"/>
                <w:color w:val="auto"/>
              </w:rPr>
              <w:t>Randall A. Wotring</w:t>
            </w:r>
          </w:p>
        </w:tc>
        <w:tc>
          <w:tcPr>
            <w:tcW w:w="640" w:type="dxa"/>
            <w:vAlign w:val="bottom"/>
          </w:tcPr>
          <w:p>
            <w:pPr>
              <w:spacing w:after="0"/>
              <w:rPr>
                <w:sz w:val="20"/>
                <w:szCs w:val="20"/>
                <w:color w:val="auto"/>
              </w:rPr>
            </w:pPr>
            <w:r>
              <w:rPr>
                <w:rFonts w:ascii="Arial" w:cs="Arial" w:eastAsia="Arial" w:hAnsi="Arial"/>
                <w:sz w:val="10"/>
                <w:szCs w:val="10"/>
                <w:color w:val="auto"/>
              </w:rPr>
              <w:t>N/A</w:t>
            </w:r>
          </w:p>
        </w:tc>
        <w:tc>
          <w:tcPr>
            <w:tcW w:w="740" w:type="dxa"/>
            <w:vAlign w:val="bottom"/>
          </w:tcPr>
          <w:p>
            <w:pPr>
              <w:spacing w:after="0"/>
              <w:rPr>
                <w:sz w:val="19"/>
                <w:szCs w:val="19"/>
                <w:color w:val="auto"/>
              </w:rPr>
            </w:pP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N/A</w:t>
            </w: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N/A</w:t>
            </w:r>
          </w:p>
        </w:tc>
        <w:tc>
          <w:tcPr>
            <w:tcW w:w="460" w:type="dxa"/>
            <w:vAlign w:val="bottom"/>
          </w:tcPr>
          <w:p>
            <w:pPr>
              <w:ind w:left="20"/>
              <w:spacing w:after="0"/>
              <w:rPr>
                <w:sz w:val="20"/>
                <w:szCs w:val="20"/>
                <w:color w:val="auto"/>
              </w:rPr>
            </w:pPr>
            <w:r>
              <w:rPr>
                <w:rFonts w:ascii="Arial" w:cs="Arial" w:eastAsia="Arial" w:hAnsi="Arial"/>
                <w:sz w:val="10"/>
                <w:szCs w:val="10"/>
                <w:color w:val="auto"/>
                <w:w w:val="96"/>
              </w:rPr>
              <w:t>RSU2020</w:t>
            </w:r>
          </w:p>
        </w:tc>
        <w:tc>
          <w:tcPr>
            <w:tcW w:w="600" w:type="dxa"/>
            <w:vAlign w:val="bottom"/>
          </w:tcPr>
          <w:p>
            <w:pPr>
              <w:jc w:val="right"/>
              <w:ind w:right="111"/>
              <w:spacing w:after="0"/>
              <w:rPr>
                <w:sz w:val="20"/>
                <w:szCs w:val="20"/>
                <w:color w:val="auto"/>
              </w:rPr>
            </w:pPr>
            <w:r>
              <w:rPr>
                <w:rFonts w:ascii="Arial" w:cs="Arial" w:eastAsia="Arial" w:hAnsi="Arial"/>
                <w:sz w:val="10"/>
                <w:szCs w:val="10"/>
                <w:color w:val="auto"/>
              </w:rPr>
              <w:t>25,546</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$1,068,845</w:t>
            </w:r>
          </w:p>
        </w:tc>
        <w:tc>
          <w:tcPr>
            <w:tcW w:w="14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PEP2020</w:t>
            </w:r>
          </w:p>
        </w:tc>
        <w:tc>
          <w:tcPr>
            <w:tcW w:w="480" w:type="dxa"/>
            <w:vAlign w:val="bottom"/>
          </w:tcPr>
          <w:p>
            <w:pPr>
              <w:jc w:val="right"/>
              <w:spacing w:after="0"/>
              <w:rPr>
                <w:sz w:val="20"/>
                <w:szCs w:val="20"/>
                <w:color w:val="auto"/>
              </w:rPr>
            </w:pPr>
            <w:r>
              <w:rPr>
                <w:rFonts w:ascii="Arial" w:cs="Arial" w:eastAsia="Arial" w:hAnsi="Arial"/>
                <w:sz w:val="10"/>
                <w:szCs w:val="10"/>
                <w:color w:val="auto"/>
              </w:rPr>
              <w:t>38,319</w:t>
            </w:r>
          </w:p>
        </w:tc>
        <w:tc>
          <w:tcPr>
            <w:tcW w:w="560" w:type="dxa"/>
            <w:vAlign w:val="bottom"/>
          </w:tcPr>
          <w:p>
            <w:pPr>
              <w:jc w:val="right"/>
              <w:spacing w:after="0"/>
              <w:rPr>
                <w:sz w:val="20"/>
                <w:szCs w:val="20"/>
                <w:color w:val="auto"/>
              </w:rPr>
            </w:pPr>
            <w:r>
              <w:rPr>
                <w:rFonts w:ascii="Arial" w:cs="Arial" w:eastAsia="Arial" w:hAnsi="Arial"/>
                <w:sz w:val="10"/>
                <w:szCs w:val="10"/>
                <w:color w:val="auto"/>
              </w:rPr>
              <w:t>$1,603,267</w:t>
            </w:r>
          </w:p>
        </w:tc>
        <w:tc>
          <w:tcPr>
            <w:tcW w:w="20" w:type="dxa"/>
            <w:vAlign w:val="bottom"/>
          </w:tcPr>
          <w:p>
            <w:pPr>
              <w:spacing w:after="0"/>
              <w:rPr>
                <w:sz w:val="19"/>
                <w:szCs w:val="19"/>
                <w:color w:val="auto"/>
              </w:rPr>
            </w:pPr>
          </w:p>
        </w:tc>
      </w:tr>
      <w:tr>
        <w:trPr>
          <w:trHeight w:val="146"/>
        </w:trPr>
        <w:tc>
          <w:tcPr>
            <w:tcW w:w="1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0"/>
                <w:szCs w:val="10"/>
                <w:color w:val="auto"/>
                <w:w w:val="96"/>
              </w:rPr>
              <w:t>RSU2019</w:t>
            </w:r>
          </w:p>
        </w:tc>
        <w:tc>
          <w:tcPr>
            <w:tcW w:w="600" w:type="dxa"/>
            <w:vAlign w:val="bottom"/>
          </w:tcPr>
          <w:p>
            <w:pPr>
              <w:jc w:val="right"/>
              <w:ind w:right="111"/>
              <w:spacing w:after="0"/>
              <w:rPr>
                <w:sz w:val="20"/>
                <w:szCs w:val="20"/>
                <w:color w:val="auto"/>
              </w:rPr>
            </w:pPr>
            <w:r>
              <w:rPr>
                <w:rFonts w:ascii="Arial" w:cs="Arial" w:eastAsia="Arial" w:hAnsi="Arial"/>
                <w:sz w:val="10"/>
                <w:szCs w:val="10"/>
                <w:color w:val="auto"/>
              </w:rPr>
              <w:t>40,000</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$1,673,600</w:t>
            </w:r>
          </w:p>
        </w:tc>
        <w:tc>
          <w:tcPr>
            <w:tcW w:w="140" w:type="dxa"/>
            <w:vAlign w:val="bottom"/>
          </w:tcPr>
          <w:p>
            <w:pPr>
              <w:spacing w:after="0"/>
              <w:rPr>
                <w:sz w:val="12"/>
                <w:szCs w:val="12"/>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PEP2019</w:t>
            </w:r>
          </w:p>
        </w:tc>
        <w:tc>
          <w:tcPr>
            <w:tcW w:w="480" w:type="dxa"/>
            <w:vAlign w:val="bottom"/>
          </w:tcPr>
          <w:p>
            <w:pPr>
              <w:jc w:val="right"/>
              <w:spacing w:after="0"/>
              <w:rPr>
                <w:sz w:val="20"/>
                <w:szCs w:val="20"/>
                <w:color w:val="auto"/>
              </w:rPr>
            </w:pPr>
            <w:r>
              <w:rPr>
                <w:rFonts w:ascii="Arial" w:cs="Arial" w:eastAsia="Arial" w:hAnsi="Arial"/>
                <w:sz w:val="10"/>
                <w:szCs w:val="10"/>
                <w:color w:val="auto"/>
              </w:rPr>
              <w:t>60,000</w:t>
            </w:r>
          </w:p>
        </w:tc>
        <w:tc>
          <w:tcPr>
            <w:tcW w:w="560" w:type="dxa"/>
            <w:vAlign w:val="bottom"/>
          </w:tcPr>
          <w:p>
            <w:pPr>
              <w:jc w:val="right"/>
              <w:spacing w:after="0"/>
              <w:rPr>
                <w:sz w:val="20"/>
                <w:szCs w:val="20"/>
                <w:color w:val="auto"/>
              </w:rPr>
            </w:pPr>
            <w:r>
              <w:rPr>
                <w:rFonts w:ascii="Arial" w:cs="Arial" w:eastAsia="Arial" w:hAnsi="Arial"/>
                <w:sz w:val="10"/>
                <w:szCs w:val="10"/>
                <w:color w:val="auto"/>
              </w:rPr>
              <w:t>$2,510,400</w:t>
            </w:r>
          </w:p>
        </w:tc>
        <w:tc>
          <w:tcPr>
            <w:tcW w:w="20" w:type="dxa"/>
            <w:vAlign w:val="bottom"/>
          </w:tcPr>
          <w:p>
            <w:pPr>
              <w:spacing w:after="0"/>
              <w:rPr>
                <w:sz w:val="12"/>
                <w:szCs w:val="12"/>
                <w:color w:val="auto"/>
              </w:rPr>
            </w:pPr>
          </w:p>
        </w:tc>
      </w:tr>
      <w:tr>
        <w:trPr>
          <w:trHeight w:val="146"/>
        </w:trPr>
        <w:tc>
          <w:tcPr>
            <w:tcW w:w="1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0"/>
                <w:szCs w:val="10"/>
                <w:color w:val="auto"/>
                <w:w w:val="96"/>
              </w:rPr>
              <w:t>RSU2018</w:t>
            </w:r>
          </w:p>
        </w:tc>
        <w:tc>
          <w:tcPr>
            <w:tcW w:w="600" w:type="dxa"/>
            <w:vAlign w:val="bottom"/>
          </w:tcPr>
          <w:p>
            <w:pPr>
              <w:jc w:val="right"/>
              <w:ind w:right="111"/>
              <w:spacing w:after="0"/>
              <w:rPr>
                <w:sz w:val="20"/>
                <w:szCs w:val="20"/>
                <w:color w:val="auto"/>
              </w:rPr>
            </w:pPr>
            <w:r>
              <w:rPr>
                <w:rFonts w:ascii="Arial" w:cs="Arial" w:eastAsia="Arial" w:hAnsi="Arial"/>
                <w:sz w:val="10"/>
                <w:szCs w:val="10"/>
                <w:color w:val="auto"/>
              </w:rPr>
              <w:t>27,079</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$1,132,985</w:t>
            </w:r>
          </w:p>
        </w:tc>
        <w:tc>
          <w:tcPr>
            <w:tcW w:w="140" w:type="dxa"/>
            <w:vAlign w:val="bottom"/>
          </w:tcPr>
          <w:p>
            <w:pPr>
              <w:spacing w:after="0"/>
              <w:rPr>
                <w:sz w:val="12"/>
                <w:szCs w:val="12"/>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PEP2018</w:t>
            </w:r>
          </w:p>
        </w:tc>
        <w:tc>
          <w:tcPr>
            <w:tcW w:w="480" w:type="dxa"/>
            <w:vAlign w:val="bottom"/>
          </w:tcPr>
          <w:p>
            <w:pPr>
              <w:jc w:val="right"/>
              <w:spacing w:after="0"/>
              <w:rPr>
                <w:sz w:val="20"/>
                <w:szCs w:val="20"/>
                <w:color w:val="auto"/>
              </w:rPr>
            </w:pPr>
            <w:r>
              <w:rPr>
                <w:rFonts w:ascii="Arial" w:cs="Arial" w:eastAsia="Arial" w:hAnsi="Arial"/>
                <w:sz w:val="10"/>
                <w:szCs w:val="10"/>
                <w:color w:val="auto"/>
              </w:rPr>
              <w:t>44,071</w:t>
            </w:r>
          </w:p>
        </w:tc>
        <w:tc>
          <w:tcPr>
            <w:tcW w:w="560" w:type="dxa"/>
            <w:vAlign w:val="bottom"/>
          </w:tcPr>
          <w:p>
            <w:pPr>
              <w:jc w:val="right"/>
              <w:spacing w:after="0"/>
              <w:rPr>
                <w:sz w:val="20"/>
                <w:szCs w:val="20"/>
                <w:color w:val="auto"/>
              </w:rPr>
            </w:pPr>
            <w:r>
              <w:rPr>
                <w:rFonts w:ascii="Arial" w:cs="Arial" w:eastAsia="Arial" w:hAnsi="Arial"/>
                <w:sz w:val="10"/>
                <w:szCs w:val="10"/>
                <w:color w:val="auto"/>
              </w:rPr>
              <w:t>$1,843,931</w:t>
            </w:r>
          </w:p>
        </w:tc>
        <w:tc>
          <w:tcPr>
            <w:tcW w:w="20" w:type="dxa"/>
            <w:vAlign w:val="bottom"/>
          </w:tcPr>
          <w:p>
            <w:pPr>
              <w:spacing w:after="0"/>
              <w:rPr>
                <w:sz w:val="12"/>
                <w:szCs w:val="12"/>
                <w:color w:val="auto"/>
              </w:rPr>
            </w:pPr>
          </w:p>
        </w:tc>
      </w:tr>
      <w:tr>
        <w:trPr>
          <w:trHeight w:val="219"/>
        </w:trPr>
        <w:tc>
          <w:tcPr>
            <w:tcW w:w="3020" w:type="dxa"/>
            <w:vAlign w:val="bottom"/>
            <w:gridSpan w:val="2"/>
          </w:tcPr>
          <w:p>
            <w:pPr>
              <w:spacing w:after="0"/>
              <w:rPr>
                <w:sz w:val="20"/>
                <w:szCs w:val="20"/>
                <w:color w:val="auto"/>
              </w:rPr>
            </w:pPr>
            <w:r>
              <w:rPr>
                <w:rFonts w:ascii="Arial" w:cs="Arial" w:eastAsia="Arial" w:hAnsi="Arial"/>
                <w:sz w:val="10"/>
                <w:szCs w:val="10"/>
                <w:color w:val="auto"/>
              </w:rPr>
              <w:t>Stephen J. Morriss</w:t>
            </w:r>
          </w:p>
        </w:tc>
        <w:tc>
          <w:tcPr>
            <w:tcW w:w="640" w:type="dxa"/>
            <w:vAlign w:val="bottom"/>
          </w:tcPr>
          <w:p>
            <w:pPr>
              <w:spacing w:after="0"/>
              <w:rPr>
                <w:sz w:val="20"/>
                <w:szCs w:val="20"/>
                <w:color w:val="auto"/>
              </w:rPr>
            </w:pPr>
            <w:r>
              <w:rPr>
                <w:rFonts w:ascii="Arial" w:cs="Arial" w:eastAsia="Arial" w:hAnsi="Arial"/>
                <w:sz w:val="10"/>
                <w:szCs w:val="10"/>
                <w:color w:val="auto"/>
              </w:rPr>
              <w:t>N/A</w:t>
            </w:r>
          </w:p>
        </w:tc>
        <w:tc>
          <w:tcPr>
            <w:tcW w:w="740" w:type="dxa"/>
            <w:vAlign w:val="bottom"/>
          </w:tcPr>
          <w:p>
            <w:pPr>
              <w:spacing w:after="0"/>
              <w:rPr>
                <w:sz w:val="19"/>
                <w:szCs w:val="19"/>
                <w:color w:val="auto"/>
              </w:rPr>
            </w:pP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N/A</w:t>
            </w: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N/A</w:t>
            </w:r>
          </w:p>
        </w:tc>
        <w:tc>
          <w:tcPr>
            <w:tcW w:w="460" w:type="dxa"/>
            <w:vAlign w:val="bottom"/>
          </w:tcPr>
          <w:p>
            <w:pPr>
              <w:ind w:left="20"/>
              <w:spacing w:after="0"/>
              <w:rPr>
                <w:sz w:val="20"/>
                <w:szCs w:val="20"/>
                <w:color w:val="auto"/>
              </w:rPr>
            </w:pPr>
            <w:r>
              <w:rPr>
                <w:rFonts w:ascii="Arial" w:cs="Arial" w:eastAsia="Arial" w:hAnsi="Arial"/>
                <w:sz w:val="10"/>
                <w:szCs w:val="10"/>
                <w:color w:val="auto"/>
                <w:w w:val="96"/>
              </w:rPr>
              <w:t>RSU2020</w:t>
            </w:r>
          </w:p>
        </w:tc>
        <w:tc>
          <w:tcPr>
            <w:tcW w:w="600" w:type="dxa"/>
            <w:vAlign w:val="bottom"/>
          </w:tcPr>
          <w:p>
            <w:pPr>
              <w:jc w:val="right"/>
              <w:ind w:right="111"/>
              <w:spacing w:after="0"/>
              <w:rPr>
                <w:sz w:val="20"/>
                <w:szCs w:val="20"/>
                <w:color w:val="auto"/>
              </w:rPr>
            </w:pPr>
            <w:r>
              <w:rPr>
                <w:rFonts w:ascii="Arial" w:cs="Arial" w:eastAsia="Arial" w:hAnsi="Arial"/>
                <w:sz w:val="10"/>
                <w:szCs w:val="10"/>
                <w:color w:val="auto"/>
              </w:rPr>
              <w:t>9,290</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$388,694</w:t>
            </w:r>
          </w:p>
        </w:tc>
        <w:tc>
          <w:tcPr>
            <w:tcW w:w="14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PEP2020</w:t>
            </w:r>
          </w:p>
        </w:tc>
        <w:tc>
          <w:tcPr>
            <w:tcW w:w="480" w:type="dxa"/>
            <w:vAlign w:val="bottom"/>
          </w:tcPr>
          <w:p>
            <w:pPr>
              <w:jc w:val="right"/>
              <w:spacing w:after="0"/>
              <w:rPr>
                <w:sz w:val="20"/>
                <w:szCs w:val="20"/>
                <w:color w:val="auto"/>
              </w:rPr>
            </w:pPr>
            <w:r>
              <w:rPr>
                <w:rFonts w:ascii="Arial" w:cs="Arial" w:eastAsia="Arial" w:hAnsi="Arial"/>
                <w:sz w:val="10"/>
                <w:szCs w:val="10"/>
                <w:color w:val="auto"/>
              </w:rPr>
              <w:t>13,935</w:t>
            </w:r>
          </w:p>
        </w:tc>
        <w:tc>
          <w:tcPr>
            <w:tcW w:w="560" w:type="dxa"/>
            <w:vAlign w:val="bottom"/>
          </w:tcPr>
          <w:p>
            <w:pPr>
              <w:jc w:val="right"/>
              <w:spacing w:after="0"/>
              <w:rPr>
                <w:sz w:val="20"/>
                <w:szCs w:val="20"/>
                <w:color w:val="auto"/>
              </w:rPr>
            </w:pPr>
            <w:r>
              <w:rPr>
                <w:rFonts w:ascii="Arial" w:cs="Arial" w:eastAsia="Arial" w:hAnsi="Arial"/>
                <w:sz w:val="10"/>
                <w:szCs w:val="10"/>
                <w:color w:val="auto"/>
              </w:rPr>
              <w:t>$583,040</w:t>
            </w:r>
          </w:p>
        </w:tc>
        <w:tc>
          <w:tcPr>
            <w:tcW w:w="20" w:type="dxa"/>
            <w:vAlign w:val="bottom"/>
          </w:tcPr>
          <w:p>
            <w:pPr>
              <w:spacing w:after="0"/>
              <w:rPr>
                <w:sz w:val="19"/>
                <w:szCs w:val="19"/>
                <w:color w:val="auto"/>
              </w:rPr>
            </w:pPr>
          </w:p>
        </w:tc>
      </w:tr>
      <w:tr>
        <w:trPr>
          <w:trHeight w:val="146"/>
        </w:trPr>
        <w:tc>
          <w:tcPr>
            <w:tcW w:w="1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0"/>
                <w:szCs w:val="10"/>
                <w:color w:val="auto"/>
                <w:w w:val="96"/>
              </w:rPr>
              <w:t>RSU2019</w:t>
            </w:r>
          </w:p>
        </w:tc>
        <w:tc>
          <w:tcPr>
            <w:tcW w:w="600" w:type="dxa"/>
            <w:vAlign w:val="bottom"/>
          </w:tcPr>
          <w:p>
            <w:pPr>
              <w:jc w:val="right"/>
              <w:ind w:right="111"/>
              <w:spacing w:after="0"/>
              <w:rPr>
                <w:sz w:val="20"/>
                <w:szCs w:val="20"/>
                <w:color w:val="auto"/>
              </w:rPr>
            </w:pPr>
            <w:r>
              <w:rPr>
                <w:rFonts w:ascii="Arial" w:cs="Arial" w:eastAsia="Arial" w:hAnsi="Arial"/>
                <w:sz w:val="10"/>
                <w:szCs w:val="10"/>
                <w:color w:val="auto"/>
              </w:rPr>
              <w:t>14,546</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$608,605</w:t>
            </w:r>
          </w:p>
        </w:tc>
        <w:tc>
          <w:tcPr>
            <w:tcW w:w="140" w:type="dxa"/>
            <w:vAlign w:val="bottom"/>
          </w:tcPr>
          <w:p>
            <w:pPr>
              <w:spacing w:after="0"/>
              <w:rPr>
                <w:sz w:val="12"/>
                <w:szCs w:val="12"/>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PEP2019</w:t>
            </w:r>
          </w:p>
        </w:tc>
        <w:tc>
          <w:tcPr>
            <w:tcW w:w="480" w:type="dxa"/>
            <w:vAlign w:val="bottom"/>
          </w:tcPr>
          <w:p>
            <w:pPr>
              <w:jc w:val="right"/>
              <w:spacing w:after="0"/>
              <w:rPr>
                <w:sz w:val="20"/>
                <w:szCs w:val="20"/>
                <w:color w:val="auto"/>
              </w:rPr>
            </w:pPr>
            <w:r>
              <w:rPr>
                <w:rFonts w:ascii="Arial" w:cs="Arial" w:eastAsia="Arial" w:hAnsi="Arial"/>
                <w:sz w:val="10"/>
                <w:szCs w:val="10"/>
                <w:color w:val="auto"/>
              </w:rPr>
              <w:t>21,819</w:t>
            </w:r>
          </w:p>
        </w:tc>
        <w:tc>
          <w:tcPr>
            <w:tcW w:w="560" w:type="dxa"/>
            <w:vAlign w:val="bottom"/>
          </w:tcPr>
          <w:p>
            <w:pPr>
              <w:jc w:val="right"/>
              <w:spacing w:after="0"/>
              <w:rPr>
                <w:sz w:val="20"/>
                <w:szCs w:val="20"/>
                <w:color w:val="auto"/>
              </w:rPr>
            </w:pPr>
            <w:r>
              <w:rPr>
                <w:rFonts w:ascii="Arial" w:cs="Arial" w:eastAsia="Arial" w:hAnsi="Arial"/>
                <w:sz w:val="10"/>
                <w:szCs w:val="10"/>
                <w:color w:val="auto"/>
              </w:rPr>
              <w:t>$912,907</w:t>
            </w:r>
          </w:p>
        </w:tc>
        <w:tc>
          <w:tcPr>
            <w:tcW w:w="20" w:type="dxa"/>
            <w:vAlign w:val="bottom"/>
          </w:tcPr>
          <w:p>
            <w:pPr>
              <w:spacing w:after="0"/>
              <w:rPr>
                <w:sz w:val="12"/>
                <w:szCs w:val="12"/>
                <w:color w:val="auto"/>
              </w:rPr>
            </w:pPr>
          </w:p>
        </w:tc>
      </w:tr>
      <w:tr>
        <w:trPr>
          <w:trHeight w:val="146"/>
        </w:trPr>
        <w:tc>
          <w:tcPr>
            <w:tcW w:w="1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0"/>
                <w:szCs w:val="10"/>
                <w:color w:val="auto"/>
                <w:w w:val="96"/>
              </w:rPr>
              <w:t>RSU2018</w:t>
            </w:r>
          </w:p>
        </w:tc>
        <w:tc>
          <w:tcPr>
            <w:tcW w:w="600" w:type="dxa"/>
            <w:vAlign w:val="bottom"/>
          </w:tcPr>
          <w:p>
            <w:pPr>
              <w:jc w:val="right"/>
              <w:ind w:right="111"/>
              <w:spacing w:after="0"/>
              <w:rPr>
                <w:sz w:val="20"/>
                <w:szCs w:val="20"/>
                <w:color w:val="auto"/>
              </w:rPr>
            </w:pPr>
            <w:r>
              <w:rPr>
                <w:rFonts w:ascii="Arial" w:cs="Arial" w:eastAsia="Arial" w:hAnsi="Arial"/>
                <w:sz w:val="10"/>
                <w:szCs w:val="10"/>
                <w:color w:val="auto"/>
              </w:rPr>
              <w:t>10,832</w:t>
            </w: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$453,211</w:t>
            </w:r>
          </w:p>
        </w:tc>
        <w:tc>
          <w:tcPr>
            <w:tcW w:w="140" w:type="dxa"/>
            <w:vAlign w:val="bottom"/>
          </w:tcPr>
          <w:p>
            <w:pPr>
              <w:spacing w:after="0"/>
              <w:rPr>
                <w:sz w:val="12"/>
                <w:szCs w:val="12"/>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PEP2018</w:t>
            </w:r>
          </w:p>
        </w:tc>
        <w:tc>
          <w:tcPr>
            <w:tcW w:w="480" w:type="dxa"/>
            <w:vAlign w:val="bottom"/>
          </w:tcPr>
          <w:p>
            <w:pPr>
              <w:jc w:val="right"/>
              <w:spacing w:after="0"/>
              <w:rPr>
                <w:sz w:val="20"/>
                <w:szCs w:val="20"/>
                <w:color w:val="auto"/>
              </w:rPr>
            </w:pPr>
            <w:r>
              <w:rPr>
                <w:rFonts w:ascii="Arial" w:cs="Arial" w:eastAsia="Arial" w:hAnsi="Arial"/>
                <w:sz w:val="10"/>
                <w:szCs w:val="10"/>
                <w:color w:val="auto"/>
              </w:rPr>
              <w:t>17,628</w:t>
            </w:r>
          </w:p>
        </w:tc>
        <w:tc>
          <w:tcPr>
            <w:tcW w:w="560" w:type="dxa"/>
            <w:vAlign w:val="bottom"/>
          </w:tcPr>
          <w:p>
            <w:pPr>
              <w:jc w:val="right"/>
              <w:spacing w:after="0"/>
              <w:rPr>
                <w:sz w:val="20"/>
                <w:szCs w:val="20"/>
                <w:color w:val="auto"/>
              </w:rPr>
            </w:pPr>
            <w:r>
              <w:rPr>
                <w:rFonts w:ascii="Arial" w:cs="Arial" w:eastAsia="Arial" w:hAnsi="Arial"/>
                <w:sz w:val="10"/>
                <w:szCs w:val="10"/>
                <w:color w:val="auto"/>
              </w:rPr>
              <w:t>$737,556</w:t>
            </w:r>
          </w:p>
        </w:tc>
        <w:tc>
          <w:tcPr>
            <w:tcW w:w="20" w:type="dxa"/>
            <w:vAlign w:val="bottom"/>
          </w:tcPr>
          <w:p>
            <w:pPr>
              <w:spacing w:after="0"/>
              <w:rPr>
                <w:sz w:val="12"/>
                <w:szCs w:val="12"/>
                <w:color w:val="auto"/>
              </w:rPr>
            </w:pPr>
          </w:p>
        </w:tc>
      </w:tr>
      <w:tr>
        <w:trPr>
          <w:trHeight w:val="219"/>
        </w:trPr>
        <w:tc>
          <w:tcPr>
            <w:tcW w:w="3020" w:type="dxa"/>
            <w:vAlign w:val="bottom"/>
            <w:gridSpan w:val="2"/>
          </w:tcPr>
          <w:p>
            <w:pPr>
              <w:spacing w:after="0"/>
              <w:rPr>
                <w:sz w:val="20"/>
                <w:szCs w:val="20"/>
                <w:color w:val="auto"/>
              </w:rPr>
            </w:pPr>
            <w:r>
              <w:rPr>
                <w:rFonts w:ascii="Arial" w:cs="Arial" w:eastAsia="Arial" w:hAnsi="Arial"/>
                <w:sz w:val="10"/>
                <w:szCs w:val="10"/>
                <w:color w:val="auto"/>
              </w:rPr>
              <w:t>Michael S. Burke</w:t>
            </w:r>
          </w:p>
        </w:tc>
        <w:tc>
          <w:tcPr>
            <w:tcW w:w="640" w:type="dxa"/>
            <w:vAlign w:val="bottom"/>
          </w:tcPr>
          <w:p>
            <w:pPr>
              <w:spacing w:after="0"/>
              <w:rPr>
                <w:sz w:val="20"/>
                <w:szCs w:val="20"/>
                <w:color w:val="auto"/>
              </w:rPr>
            </w:pPr>
            <w:r>
              <w:rPr>
                <w:rFonts w:ascii="Arial" w:cs="Arial" w:eastAsia="Arial" w:hAnsi="Arial"/>
                <w:sz w:val="10"/>
                <w:szCs w:val="10"/>
                <w:color w:val="auto"/>
              </w:rPr>
              <w:t>127,714</w:t>
            </w:r>
          </w:p>
        </w:tc>
        <w:tc>
          <w:tcPr>
            <w:tcW w:w="740" w:type="dxa"/>
            <w:vAlign w:val="bottom"/>
          </w:tcPr>
          <w:p>
            <w:pPr>
              <w:spacing w:after="0"/>
              <w:rPr>
                <w:sz w:val="19"/>
                <w:szCs w:val="19"/>
                <w:color w:val="auto"/>
              </w:rPr>
            </w:pP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$31.62</w:t>
            </w:r>
          </w:p>
        </w:tc>
        <w:tc>
          <w:tcPr>
            <w:tcW w:w="560" w:type="dxa"/>
            <w:vAlign w:val="bottom"/>
          </w:tcPr>
          <w:p>
            <w:pPr>
              <w:jc w:val="right"/>
              <w:spacing w:after="0"/>
              <w:rPr>
                <w:sz w:val="20"/>
                <w:szCs w:val="20"/>
                <w:color w:val="auto"/>
              </w:rPr>
            </w:pPr>
            <w:r>
              <w:rPr>
                <w:rFonts w:ascii="Arial" w:cs="Arial" w:eastAsia="Arial" w:hAnsi="Arial"/>
                <w:sz w:val="10"/>
                <w:szCs w:val="10"/>
                <w:color w:val="auto"/>
              </w:rPr>
              <w:t>8/15/2021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PEP2019</w:t>
            </w:r>
          </w:p>
        </w:tc>
        <w:tc>
          <w:tcPr>
            <w:tcW w:w="480" w:type="dxa"/>
            <w:vAlign w:val="bottom"/>
          </w:tcPr>
          <w:p>
            <w:pPr>
              <w:jc w:val="right"/>
              <w:spacing w:after="0"/>
              <w:rPr>
                <w:sz w:val="20"/>
                <w:szCs w:val="20"/>
                <w:color w:val="auto"/>
              </w:rPr>
            </w:pPr>
            <w:r>
              <w:rPr>
                <w:rFonts w:ascii="Arial" w:cs="Arial" w:eastAsia="Arial" w:hAnsi="Arial"/>
                <w:sz w:val="10"/>
                <w:szCs w:val="10"/>
                <w:color w:val="auto"/>
              </w:rPr>
              <w:t>240,000</w:t>
            </w:r>
          </w:p>
        </w:tc>
        <w:tc>
          <w:tcPr>
            <w:tcW w:w="560" w:type="dxa"/>
            <w:vAlign w:val="bottom"/>
          </w:tcPr>
          <w:p>
            <w:pPr>
              <w:jc w:val="right"/>
              <w:spacing w:after="0"/>
              <w:rPr>
                <w:sz w:val="20"/>
                <w:szCs w:val="20"/>
                <w:color w:val="auto"/>
              </w:rPr>
            </w:pPr>
            <w:r>
              <w:rPr>
                <w:rFonts w:ascii="Arial" w:cs="Arial" w:eastAsia="Arial" w:hAnsi="Arial"/>
                <w:sz w:val="10"/>
                <w:szCs w:val="10"/>
                <w:color w:val="auto"/>
                <w:w w:val="97"/>
              </w:rPr>
              <w:t>$10,041,600</w:t>
            </w:r>
          </w:p>
        </w:tc>
        <w:tc>
          <w:tcPr>
            <w:tcW w:w="20" w:type="dxa"/>
            <w:vAlign w:val="bottom"/>
          </w:tcPr>
          <w:p>
            <w:pPr>
              <w:spacing w:after="0"/>
              <w:rPr>
                <w:sz w:val="19"/>
                <w:szCs w:val="19"/>
                <w:color w:val="auto"/>
              </w:rPr>
            </w:pPr>
          </w:p>
        </w:tc>
      </w:tr>
      <w:tr>
        <w:trPr>
          <w:trHeight w:val="146"/>
        </w:trPr>
        <w:tc>
          <w:tcPr>
            <w:tcW w:w="1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20"/>
                <w:szCs w:val="20"/>
                <w:color w:val="auto"/>
              </w:rPr>
            </w:pPr>
            <w:r>
              <w:rPr>
                <w:rFonts w:ascii="Arial" w:cs="Arial" w:eastAsia="Arial" w:hAnsi="Arial"/>
                <w:sz w:val="10"/>
                <w:szCs w:val="10"/>
                <w:color w:val="auto"/>
              </w:rPr>
              <w:t>PEP2018</w:t>
            </w:r>
          </w:p>
        </w:tc>
        <w:tc>
          <w:tcPr>
            <w:tcW w:w="480" w:type="dxa"/>
            <w:vAlign w:val="bottom"/>
          </w:tcPr>
          <w:p>
            <w:pPr>
              <w:jc w:val="right"/>
              <w:spacing w:after="0"/>
              <w:rPr>
                <w:sz w:val="20"/>
                <w:szCs w:val="20"/>
                <w:color w:val="auto"/>
              </w:rPr>
            </w:pPr>
            <w:r>
              <w:rPr>
                <w:rFonts w:ascii="Arial" w:cs="Arial" w:eastAsia="Arial" w:hAnsi="Arial"/>
                <w:sz w:val="10"/>
                <w:szCs w:val="10"/>
                <w:color w:val="auto"/>
              </w:rPr>
              <w:t>193,908</w:t>
            </w:r>
          </w:p>
        </w:tc>
        <w:tc>
          <w:tcPr>
            <w:tcW w:w="560" w:type="dxa"/>
            <w:vAlign w:val="bottom"/>
          </w:tcPr>
          <w:p>
            <w:pPr>
              <w:jc w:val="right"/>
              <w:spacing w:after="0"/>
              <w:rPr>
                <w:sz w:val="20"/>
                <w:szCs w:val="20"/>
                <w:color w:val="auto"/>
              </w:rPr>
            </w:pPr>
            <w:r>
              <w:rPr>
                <w:rFonts w:ascii="Arial" w:cs="Arial" w:eastAsia="Arial" w:hAnsi="Arial"/>
                <w:sz w:val="10"/>
                <w:szCs w:val="10"/>
                <w:color w:val="auto"/>
              </w:rPr>
              <w:t>$8,113,111</w:t>
            </w:r>
          </w:p>
        </w:tc>
        <w:tc>
          <w:tcPr>
            <w:tcW w:w="20" w:type="dxa"/>
            <w:vAlign w:val="bottom"/>
          </w:tcPr>
          <w:p>
            <w:pPr>
              <w:spacing w:after="0"/>
              <w:rPr>
                <w:sz w:val="12"/>
                <w:szCs w:val="12"/>
                <w:color w:val="auto"/>
              </w:rPr>
            </w:pPr>
          </w:p>
        </w:tc>
      </w:tr>
      <w:tr>
        <w:trPr>
          <w:trHeight w:val="61"/>
        </w:trPr>
        <w:tc>
          <w:tcPr>
            <w:tcW w:w="1680" w:type="dxa"/>
            <w:vAlign w:val="bottom"/>
            <w:tcBorders>
              <w:bottom w:val="single" w:sz="8" w:color="auto"/>
            </w:tcBorders>
          </w:tcPr>
          <w:p>
            <w:pPr>
              <w:spacing w:after="0"/>
              <w:rPr>
                <w:sz w:val="5"/>
                <w:szCs w:val="5"/>
                <w:color w:val="auto"/>
              </w:rPr>
            </w:pPr>
          </w:p>
        </w:tc>
        <w:tc>
          <w:tcPr>
            <w:tcW w:w="1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r>
    </w:tbl>
    <w:p>
      <w:pPr>
        <w:spacing w:after="0" w:line="134" w:lineRule="exact"/>
        <w:rPr>
          <w:sz w:val="20"/>
          <w:szCs w:val="20"/>
          <w:color w:val="auto"/>
        </w:rPr>
      </w:pPr>
    </w:p>
    <w:p>
      <w:pPr>
        <w:ind w:left="1480" w:hanging="357"/>
        <w:spacing w:after="0"/>
        <w:tabs>
          <w:tab w:leader="none" w:pos="14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This column represents the aggregate number of shares subject to RSU2021, RSU2020, RSU2019, and RSU2018 awards that were not vested as of September 30, 2020.</w:t>
      </w:r>
    </w:p>
    <w:p>
      <w:pPr>
        <w:spacing w:after="0" w:line="144" w:lineRule="exact"/>
        <w:rPr>
          <w:rFonts w:ascii="Arial" w:cs="Arial" w:eastAsia="Arial" w:hAnsi="Arial"/>
          <w:sz w:val="12"/>
          <w:szCs w:val="12"/>
          <w:color w:val="auto"/>
        </w:rPr>
      </w:pPr>
    </w:p>
    <w:p>
      <w:pPr>
        <w:ind w:left="1480" w:hanging="357"/>
        <w:spacing w:after="0" w:line="274" w:lineRule="auto"/>
        <w:tabs>
          <w:tab w:leader="none" w:pos="14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This column represents the aggregate number of shares subject to RSU2021, RSU2020, RSU2019, and RSU2018 awards that were not vested as of September 30, 2020, multiplied by the September 30, 2020, common stock price of $41.84 per share.</w:t>
      </w:r>
    </w:p>
    <w:p>
      <w:pPr>
        <w:spacing w:after="0" w:line="95" w:lineRule="exact"/>
        <w:rPr>
          <w:rFonts w:ascii="Arial" w:cs="Arial" w:eastAsia="Arial" w:hAnsi="Arial"/>
          <w:sz w:val="12"/>
          <w:szCs w:val="12"/>
          <w:color w:val="auto"/>
        </w:rPr>
      </w:pPr>
    </w:p>
    <w:p>
      <w:pPr>
        <w:jc w:val="both"/>
        <w:ind w:left="1480" w:hanging="357"/>
        <w:spacing w:after="0" w:line="256" w:lineRule="auto"/>
        <w:tabs>
          <w:tab w:leader="none" w:pos="14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This column represents the number of shares subject to PEP2020, PEP2019, and PEP2018 units that were not vested as of September 30, 2020. For PEP2018, the number of PEP units is based on the actual performance of 108.5%. For PEP2019 and PEP2020, the number of PEP units is based on estimated performance at target. In addition to performance, the vesting of PEP awards is contingent on continuous employment by the NEOs through the end of the applicable vesting period (except in the case of certain qualifying terminations).</w:t>
      </w:r>
    </w:p>
    <w:p>
      <w:pPr>
        <w:spacing w:after="0" w:line="105" w:lineRule="exact"/>
        <w:rPr>
          <w:rFonts w:ascii="Arial" w:cs="Arial" w:eastAsia="Arial" w:hAnsi="Arial"/>
          <w:sz w:val="12"/>
          <w:szCs w:val="12"/>
          <w:color w:val="auto"/>
        </w:rPr>
      </w:pPr>
    </w:p>
    <w:p>
      <w:pPr>
        <w:ind w:left="1480" w:hanging="357"/>
        <w:spacing w:after="0" w:line="274" w:lineRule="auto"/>
        <w:tabs>
          <w:tab w:leader="none" w:pos="14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This column represents the number of PEP2020, PEP2019, and PEP2018 units that were not vested as of September 30, 2020, adjusted for actual PEP performance of 108.5% for PEP2018 and estimated PEP performance at target for PEP2019 and PEP2020, multiplied by the September 30, 2020, common stock price of $41.84 per share.</w:t>
      </w:r>
    </w:p>
    <w:p>
      <w:pPr>
        <w:spacing w:after="0" w:line="104" w:lineRule="exact"/>
        <w:rPr>
          <w:rFonts w:ascii="Arial" w:cs="Arial" w:eastAsia="Arial" w:hAnsi="Arial"/>
          <w:sz w:val="12"/>
          <w:szCs w:val="12"/>
          <w:color w:val="auto"/>
        </w:rPr>
      </w:pPr>
    </w:p>
    <w:p>
      <w:pPr>
        <w:jc w:val="both"/>
        <w:ind w:left="1480" w:hanging="357"/>
        <w:spacing w:after="0" w:line="290" w:lineRule="auto"/>
        <w:tabs>
          <w:tab w:leader="none" w:pos="14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This reflects the special performance stock option award granted on August 15, 2020 to Mr. Rudd in connection with his appointment to the position of CEO. The performance stock option is subject to both service and stock price vesting conditions, which must each be satisfied for the option to vest as to the underlying shares. The service vesting requirement is satisfied in five (5) equal installments on each anniversary of the grant date, subject to continued employment through the applicable vesting date. The performance vesting requirement is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9" w:name="page90"/>
    <w:bookmarkEnd w:id="89"/>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ind w:left="1480"/>
        <w:spacing w:after="0" w:line="274" w:lineRule="auto"/>
        <w:rPr>
          <w:sz w:val="20"/>
          <w:szCs w:val="20"/>
          <w:color w:val="auto"/>
        </w:rPr>
      </w:pPr>
      <w:r>
        <w:rPr>
          <w:rFonts w:ascii="Arial" w:cs="Arial" w:eastAsia="Arial" w:hAnsi="Arial"/>
          <w:sz w:val="12"/>
          <w:szCs w:val="12"/>
          <w:color w:val="auto"/>
        </w:rPr>
        <w:t>also satisfied in five (5) equal installments, upon our volume-weighted average stock price during a 20-day consecutive trading day period achieving each of the following stock price hurdles:</w:t>
      </w:r>
    </w:p>
    <w:p>
      <w:pPr>
        <w:spacing w:after="0" w:line="102" w:lineRule="exact"/>
        <w:rPr>
          <w:sz w:val="20"/>
          <w:szCs w:val="20"/>
          <w:color w:val="auto"/>
        </w:rPr>
      </w:pPr>
    </w:p>
    <w:tbl>
      <w:tblPr>
        <w:tblLayout w:type="fixed"/>
        <w:tblInd w:w="1460" w:type="dxa"/>
        <w:tblCellMar>
          <w:top w:w="0" w:type="dxa"/>
          <w:left w:w="0" w:type="dxa"/>
          <w:bottom w:w="0" w:type="dxa"/>
          <w:right w:w="0" w:type="dxa"/>
        </w:tblCellMar>
      </w:tblPr>
      <w:tr>
        <w:trPr>
          <w:trHeight w:val="151"/>
        </w:trPr>
        <w:tc>
          <w:tcPr>
            <w:tcW w:w="6320" w:type="dxa"/>
            <w:vAlign w:val="bottom"/>
            <w:tcBorders>
              <w:bottom w:val="single" w:sz="8" w:color="00B2E5"/>
            </w:tcBorders>
            <w:gridSpan w:val="2"/>
          </w:tcPr>
          <w:p>
            <w:pPr>
              <w:spacing w:after="0"/>
              <w:rPr>
                <w:sz w:val="20"/>
                <w:szCs w:val="20"/>
                <w:color w:val="auto"/>
              </w:rPr>
            </w:pPr>
            <w:r>
              <w:rPr>
                <w:rFonts w:ascii="Arial" w:cs="Arial" w:eastAsia="Arial" w:hAnsi="Arial"/>
                <w:sz w:val="12"/>
                <w:szCs w:val="12"/>
                <w:b w:val="1"/>
                <w:bCs w:val="1"/>
                <w:color w:val="auto"/>
              </w:rPr>
              <w:t>Target Stock Price</w:t>
            </w:r>
          </w:p>
        </w:tc>
        <w:tc>
          <w:tcPr>
            <w:tcW w:w="2380" w:type="dxa"/>
            <w:vAlign w:val="bottom"/>
            <w:tcBorders>
              <w:bottom w:val="single" w:sz="8" w:color="00B2E5"/>
            </w:tcBorders>
          </w:tcPr>
          <w:p>
            <w:pPr>
              <w:ind w:left="100"/>
              <w:spacing w:after="0"/>
              <w:rPr>
                <w:sz w:val="20"/>
                <w:szCs w:val="20"/>
                <w:color w:val="auto"/>
              </w:rPr>
            </w:pPr>
            <w:r>
              <w:rPr>
                <w:rFonts w:ascii="Arial" w:cs="Arial" w:eastAsia="Arial" w:hAnsi="Arial"/>
                <w:sz w:val="12"/>
                <w:szCs w:val="12"/>
                <w:b w:val="1"/>
                <w:bCs w:val="1"/>
                <w:color w:val="auto"/>
              </w:rPr>
              <w:t>Percentage</w:t>
            </w:r>
          </w:p>
        </w:tc>
      </w:tr>
      <w:tr>
        <w:trPr>
          <w:trHeight w:val="135"/>
        </w:trPr>
        <w:tc>
          <w:tcPr>
            <w:tcW w:w="6320" w:type="dxa"/>
            <w:vAlign w:val="bottom"/>
            <w:tcBorders>
              <w:right w:val="single" w:sz="8" w:color="63C1DF"/>
            </w:tcBorders>
            <w:gridSpan w:val="2"/>
          </w:tcPr>
          <w:p>
            <w:pPr>
              <w:spacing w:after="0" w:line="135" w:lineRule="exact"/>
              <w:rPr>
                <w:sz w:val="20"/>
                <w:szCs w:val="20"/>
                <w:color w:val="auto"/>
              </w:rPr>
            </w:pPr>
            <w:r>
              <w:rPr>
                <w:rFonts w:ascii="Arial" w:cs="Arial" w:eastAsia="Arial" w:hAnsi="Arial"/>
                <w:sz w:val="12"/>
                <w:szCs w:val="12"/>
                <w:color w:val="auto"/>
              </w:rPr>
              <w:t>Exercise Price plus 20% ($46.46)</w:t>
            </w:r>
          </w:p>
        </w:tc>
        <w:tc>
          <w:tcPr>
            <w:tcW w:w="2380" w:type="dxa"/>
            <w:vAlign w:val="bottom"/>
          </w:tcPr>
          <w:p>
            <w:pPr>
              <w:jc w:val="center"/>
              <w:ind w:left="41"/>
              <w:spacing w:after="0" w:line="135" w:lineRule="exact"/>
              <w:rPr>
                <w:sz w:val="20"/>
                <w:szCs w:val="20"/>
                <w:color w:val="auto"/>
              </w:rPr>
            </w:pPr>
            <w:r>
              <w:rPr>
                <w:rFonts w:ascii="Arial" w:cs="Arial" w:eastAsia="Arial" w:hAnsi="Arial"/>
                <w:sz w:val="12"/>
                <w:szCs w:val="12"/>
                <w:color w:val="auto"/>
                <w:w w:val="99"/>
              </w:rPr>
              <w:t>20%</w:t>
            </w:r>
          </w:p>
        </w:tc>
      </w:tr>
      <w:tr>
        <w:trPr>
          <w:trHeight w:val="126"/>
        </w:trPr>
        <w:tc>
          <w:tcPr>
            <w:tcW w:w="20" w:type="dxa"/>
            <w:vAlign w:val="bottom"/>
          </w:tcPr>
          <w:p>
            <w:pPr>
              <w:spacing w:after="0"/>
              <w:rPr>
                <w:sz w:val="10"/>
                <w:szCs w:val="10"/>
                <w:color w:val="auto"/>
              </w:rPr>
            </w:pPr>
          </w:p>
        </w:tc>
        <w:tc>
          <w:tcPr>
            <w:tcW w:w="6300" w:type="dxa"/>
            <w:vAlign w:val="bottom"/>
            <w:tcBorders>
              <w:top w:val="single" w:sz="8" w:color="00B2E5"/>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Exercise Price plus 40% ($54.21)</w:t>
            </w:r>
          </w:p>
        </w:tc>
        <w:tc>
          <w:tcPr>
            <w:tcW w:w="2380" w:type="dxa"/>
            <w:vAlign w:val="bottom"/>
            <w:tcBorders>
              <w:top w:val="single" w:sz="8" w:color="00B2E5"/>
              <w:bottom w:val="single" w:sz="8" w:color="00B2E5"/>
            </w:tcBorders>
          </w:tcPr>
          <w:p>
            <w:pPr>
              <w:jc w:val="center"/>
              <w:ind w:left="41"/>
              <w:spacing w:after="0" w:line="126" w:lineRule="exact"/>
              <w:rPr>
                <w:sz w:val="20"/>
                <w:szCs w:val="20"/>
                <w:color w:val="auto"/>
              </w:rPr>
            </w:pPr>
            <w:r>
              <w:rPr>
                <w:rFonts w:ascii="Arial" w:cs="Arial" w:eastAsia="Arial" w:hAnsi="Arial"/>
                <w:sz w:val="12"/>
                <w:szCs w:val="12"/>
                <w:color w:val="auto"/>
                <w:w w:val="99"/>
              </w:rPr>
              <w:t>40%</w:t>
            </w:r>
          </w:p>
        </w:tc>
      </w:tr>
      <w:tr>
        <w:trPr>
          <w:trHeight w:val="126"/>
        </w:trPr>
        <w:tc>
          <w:tcPr>
            <w:tcW w:w="20" w:type="dxa"/>
            <w:vAlign w:val="bottom"/>
          </w:tcPr>
          <w:p>
            <w:pPr>
              <w:spacing w:after="0"/>
              <w:rPr>
                <w:sz w:val="10"/>
                <w:szCs w:val="10"/>
                <w:color w:val="auto"/>
              </w:rPr>
            </w:pPr>
          </w:p>
        </w:tc>
        <w:tc>
          <w:tcPr>
            <w:tcW w:w="6300" w:type="dxa"/>
            <w:vAlign w:val="bottom"/>
            <w:tcBorders>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Exercise Price plus 60% ($61.95)</w:t>
            </w:r>
          </w:p>
        </w:tc>
        <w:tc>
          <w:tcPr>
            <w:tcW w:w="2380" w:type="dxa"/>
            <w:vAlign w:val="bottom"/>
            <w:tcBorders>
              <w:bottom w:val="single" w:sz="8" w:color="00B2E5"/>
            </w:tcBorders>
          </w:tcPr>
          <w:p>
            <w:pPr>
              <w:jc w:val="center"/>
              <w:ind w:left="41"/>
              <w:spacing w:after="0" w:line="126" w:lineRule="exact"/>
              <w:rPr>
                <w:sz w:val="20"/>
                <w:szCs w:val="20"/>
                <w:color w:val="auto"/>
              </w:rPr>
            </w:pPr>
            <w:r>
              <w:rPr>
                <w:rFonts w:ascii="Arial" w:cs="Arial" w:eastAsia="Arial" w:hAnsi="Arial"/>
                <w:sz w:val="12"/>
                <w:szCs w:val="12"/>
                <w:color w:val="auto"/>
                <w:w w:val="99"/>
              </w:rPr>
              <w:t>60%</w:t>
            </w:r>
          </w:p>
        </w:tc>
      </w:tr>
      <w:tr>
        <w:trPr>
          <w:trHeight w:val="126"/>
        </w:trPr>
        <w:tc>
          <w:tcPr>
            <w:tcW w:w="20" w:type="dxa"/>
            <w:vAlign w:val="bottom"/>
          </w:tcPr>
          <w:p>
            <w:pPr>
              <w:spacing w:after="0"/>
              <w:rPr>
                <w:sz w:val="10"/>
                <w:szCs w:val="10"/>
                <w:color w:val="auto"/>
              </w:rPr>
            </w:pPr>
          </w:p>
        </w:tc>
        <w:tc>
          <w:tcPr>
            <w:tcW w:w="6300" w:type="dxa"/>
            <w:vAlign w:val="bottom"/>
            <w:tcBorders>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Exercise Price plus 80% ($69.70)</w:t>
            </w:r>
          </w:p>
        </w:tc>
        <w:tc>
          <w:tcPr>
            <w:tcW w:w="2380" w:type="dxa"/>
            <w:vAlign w:val="bottom"/>
            <w:tcBorders>
              <w:bottom w:val="single" w:sz="8" w:color="00B2E5"/>
            </w:tcBorders>
          </w:tcPr>
          <w:p>
            <w:pPr>
              <w:jc w:val="center"/>
              <w:ind w:left="41"/>
              <w:spacing w:after="0" w:line="126" w:lineRule="exact"/>
              <w:rPr>
                <w:sz w:val="20"/>
                <w:szCs w:val="20"/>
                <w:color w:val="auto"/>
              </w:rPr>
            </w:pPr>
            <w:r>
              <w:rPr>
                <w:rFonts w:ascii="Arial" w:cs="Arial" w:eastAsia="Arial" w:hAnsi="Arial"/>
                <w:sz w:val="12"/>
                <w:szCs w:val="12"/>
                <w:color w:val="auto"/>
                <w:w w:val="99"/>
              </w:rPr>
              <w:t>80%</w:t>
            </w:r>
          </w:p>
        </w:tc>
      </w:tr>
      <w:tr>
        <w:trPr>
          <w:trHeight w:val="126"/>
        </w:trPr>
        <w:tc>
          <w:tcPr>
            <w:tcW w:w="20" w:type="dxa"/>
            <w:vAlign w:val="bottom"/>
          </w:tcPr>
          <w:p>
            <w:pPr>
              <w:spacing w:after="0"/>
              <w:rPr>
                <w:sz w:val="10"/>
                <w:szCs w:val="10"/>
                <w:color w:val="auto"/>
              </w:rPr>
            </w:pPr>
          </w:p>
        </w:tc>
        <w:tc>
          <w:tcPr>
            <w:tcW w:w="6300" w:type="dxa"/>
            <w:vAlign w:val="bottom"/>
            <w:tcBorders>
              <w:bottom w:val="single" w:sz="8" w:color="00B2E5"/>
              <w:right w:val="single" w:sz="8" w:color="63C1DF"/>
            </w:tcBorders>
          </w:tcPr>
          <w:p>
            <w:pPr>
              <w:spacing w:after="0" w:line="126" w:lineRule="exact"/>
              <w:rPr>
                <w:sz w:val="20"/>
                <w:szCs w:val="20"/>
                <w:color w:val="auto"/>
              </w:rPr>
            </w:pPr>
            <w:r>
              <w:rPr>
                <w:rFonts w:ascii="Arial" w:cs="Arial" w:eastAsia="Arial" w:hAnsi="Arial"/>
                <w:sz w:val="12"/>
                <w:szCs w:val="12"/>
                <w:color w:val="auto"/>
              </w:rPr>
              <w:t>Exercise Price plus 100% ($77.44)</w:t>
            </w:r>
          </w:p>
        </w:tc>
        <w:tc>
          <w:tcPr>
            <w:tcW w:w="2380" w:type="dxa"/>
            <w:vAlign w:val="bottom"/>
            <w:tcBorders>
              <w:bottom w:val="single" w:sz="8" w:color="00B2E5"/>
            </w:tcBorders>
          </w:tcPr>
          <w:p>
            <w:pPr>
              <w:jc w:val="center"/>
              <w:ind w:left="61"/>
              <w:spacing w:after="0" w:line="126" w:lineRule="exact"/>
              <w:rPr>
                <w:sz w:val="20"/>
                <w:szCs w:val="20"/>
                <w:color w:val="auto"/>
              </w:rPr>
            </w:pPr>
            <w:r>
              <w:rPr>
                <w:rFonts w:ascii="Arial" w:cs="Arial" w:eastAsia="Arial" w:hAnsi="Arial"/>
                <w:sz w:val="12"/>
                <w:szCs w:val="12"/>
                <w:color w:val="auto"/>
                <w:w w:val="97"/>
              </w:rPr>
              <w:t>100%</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below provides information on the vesting schedules associated with the outstanding long-term incentive equity awards listed above:</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118"/>
        </w:trPr>
        <w:tc>
          <w:tcPr>
            <w:tcW w:w="880" w:type="dxa"/>
            <w:vAlign w:val="bottom"/>
            <w:tcBorders>
              <w:bottom w:val="single" w:sz="8" w:color="00B2E5"/>
            </w:tcBorders>
          </w:tcPr>
          <w:p>
            <w:pPr>
              <w:spacing w:after="0"/>
              <w:rPr>
                <w:sz w:val="20"/>
                <w:szCs w:val="20"/>
                <w:color w:val="auto"/>
              </w:rPr>
            </w:pPr>
            <w:r>
              <w:rPr>
                <w:rFonts w:ascii="Arial" w:cs="Arial" w:eastAsia="Arial" w:hAnsi="Arial"/>
                <w:sz w:val="10"/>
                <w:szCs w:val="10"/>
                <w:b w:val="1"/>
                <w:bCs w:val="1"/>
                <w:color w:val="auto"/>
              </w:rPr>
              <w:t>Award Type</w:t>
            </w:r>
          </w:p>
        </w:tc>
        <w:tc>
          <w:tcPr>
            <w:tcW w:w="1180" w:type="dxa"/>
            <w:vAlign w:val="bottom"/>
            <w:tcBorders>
              <w:bottom w:val="single" w:sz="8" w:color="00B2E5"/>
            </w:tcBorders>
          </w:tcPr>
          <w:p>
            <w:pPr>
              <w:jc w:val="right"/>
              <w:ind w:right="331"/>
              <w:spacing w:after="0"/>
              <w:rPr>
                <w:sz w:val="20"/>
                <w:szCs w:val="20"/>
                <w:color w:val="auto"/>
              </w:rPr>
            </w:pPr>
            <w:r>
              <w:rPr>
                <w:rFonts w:ascii="Arial" w:cs="Arial" w:eastAsia="Arial" w:hAnsi="Arial"/>
                <w:sz w:val="10"/>
                <w:szCs w:val="10"/>
                <w:b w:val="1"/>
                <w:bCs w:val="1"/>
                <w:color w:val="auto"/>
              </w:rPr>
              <w:t>Expiration Date</w:t>
            </w:r>
          </w:p>
        </w:tc>
        <w:tc>
          <w:tcPr>
            <w:tcW w:w="6980" w:type="dxa"/>
            <w:vAlign w:val="bottom"/>
            <w:tcBorders>
              <w:bottom w:val="single" w:sz="8" w:color="00B2E5"/>
            </w:tcBorders>
          </w:tcPr>
          <w:p>
            <w:pPr>
              <w:ind w:left="100"/>
              <w:spacing w:after="0"/>
              <w:rPr>
                <w:sz w:val="20"/>
                <w:szCs w:val="20"/>
                <w:color w:val="auto"/>
              </w:rPr>
            </w:pPr>
            <w:r>
              <w:rPr>
                <w:rFonts w:ascii="Arial" w:cs="Arial" w:eastAsia="Arial" w:hAnsi="Arial"/>
                <w:sz w:val="10"/>
                <w:szCs w:val="10"/>
                <w:b w:val="1"/>
                <w:bCs w:val="1"/>
                <w:color w:val="auto"/>
              </w:rPr>
              <w:t>Vesting Schedule</w:t>
            </w:r>
          </w:p>
        </w:tc>
      </w:tr>
      <w:tr>
        <w:trPr>
          <w:trHeight w:val="108"/>
        </w:trPr>
        <w:tc>
          <w:tcPr>
            <w:tcW w:w="880" w:type="dxa"/>
            <w:vAlign w:val="bottom"/>
            <w:tcBorders>
              <w:bottom w:val="single" w:sz="8" w:color="00B2E5"/>
              <w:right w:val="single" w:sz="8" w:color="63C1DF"/>
            </w:tcBorders>
          </w:tcPr>
          <w:p>
            <w:pPr>
              <w:spacing w:after="0" w:line="108" w:lineRule="exact"/>
              <w:rPr>
                <w:sz w:val="20"/>
                <w:szCs w:val="20"/>
                <w:color w:val="auto"/>
              </w:rPr>
            </w:pPr>
            <w:r>
              <w:rPr>
                <w:rFonts w:ascii="Arial" w:cs="Arial" w:eastAsia="Arial" w:hAnsi="Arial"/>
                <w:sz w:val="10"/>
                <w:szCs w:val="10"/>
                <w:color w:val="auto"/>
              </w:rPr>
              <w:t>Option</w:t>
            </w:r>
          </w:p>
        </w:tc>
        <w:tc>
          <w:tcPr>
            <w:tcW w:w="1180" w:type="dxa"/>
            <w:vAlign w:val="bottom"/>
            <w:tcBorders>
              <w:bottom w:val="single" w:sz="8" w:color="00B2E5"/>
              <w:right w:val="single" w:sz="8" w:color="63C1DF"/>
            </w:tcBorders>
          </w:tcPr>
          <w:p>
            <w:pPr>
              <w:jc w:val="right"/>
              <w:ind w:right="151"/>
              <w:spacing w:after="0" w:line="108" w:lineRule="exact"/>
              <w:rPr>
                <w:sz w:val="20"/>
                <w:szCs w:val="20"/>
                <w:color w:val="auto"/>
              </w:rPr>
            </w:pPr>
            <w:r>
              <w:rPr>
                <w:rFonts w:ascii="Arial" w:cs="Arial" w:eastAsia="Arial" w:hAnsi="Arial"/>
                <w:sz w:val="10"/>
                <w:szCs w:val="10"/>
                <w:color w:val="auto"/>
              </w:rPr>
              <w:t>8/15/2027</w:t>
            </w:r>
          </w:p>
        </w:tc>
        <w:tc>
          <w:tcPr>
            <w:tcW w:w="6980" w:type="dxa"/>
            <w:vAlign w:val="bottom"/>
            <w:tcBorders>
              <w:bottom w:val="single" w:sz="8" w:color="00B2E5"/>
            </w:tcBorders>
          </w:tcPr>
          <w:p>
            <w:pPr>
              <w:ind w:left="100"/>
              <w:spacing w:after="0" w:line="108" w:lineRule="exact"/>
              <w:rPr>
                <w:sz w:val="20"/>
                <w:szCs w:val="20"/>
                <w:color w:val="auto"/>
              </w:rPr>
            </w:pPr>
            <w:r>
              <w:rPr>
                <w:rFonts w:ascii="Arial" w:cs="Arial" w:eastAsia="Arial" w:hAnsi="Arial"/>
                <w:sz w:val="10"/>
                <w:szCs w:val="10"/>
                <w:color w:val="auto"/>
              </w:rPr>
              <w:t>The option vests over five (5) years subject to continued employment and achievement of certain stock price performance goals.</w:t>
            </w:r>
          </w:p>
        </w:tc>
      </w:tr>
      <w:tr>
        <w:trPr>
          <w:trHeight w:val="98"/>
        </w:trPr>
        <w:tc>
          <w:tcPr>
            <w:tcW w:w="880" w:type="dxa"/>
            <w:vAlign w:val="bottom"/>
            <w:tcBorders>
              <w:bottom w:val="single" w:sz="8" w:color="00B2E5"/>
              <w:right w:val="single" w:sz="8" w:color="63C1DF"/>
            </w:tcBorders>
          </w:tcPr>
          <w:p>
            <w:pPr>
              <w:spacing w:after="0" w:line="99" w:lineRule="exact"/>
              <w:rPr>
                <w:sz w:val="20"/>
                <w:szCs w:val="20"/>
                <w:color w:val="auto"/>
              </w:rPr>
            </w:pPr>
            <w:r>
              <w:rPr>
                <w:rFonts w:ascii="Arial" w:cs="Arial" w:eastAsia="Arial" w:hAnsi="Arial"/>
                <w:sz w:val="10"/>
                <w:szCs w:val="10"/>
                <w:color w:val="auto"/>
              </w:rPr>
              <w:t>Option</w:t>
            </w:r>
          </w:p>
        </w:tc>
        <w:tc>
          <w:tcPr>
            <w:tcW w:w="1180" w:type="dxa"/>
            <w:vAlign w:val="bottom"/>
            <w:tcBorders>
              <w:bottom w:val="single" w:sz="8" w:color="00B2E5"/>
              <w:right w:val="single" w:sz="8" w:color="63C1DF"/>
            </w:tcBorders>
          </w:tcPr>
          <w:p>
            <w:pPr>
              <w:jc w:val="right"/>
              <w:ind w:right="151"/>
              <w:spacing w:after="0" w:line="99" w:lineRule="exact"/>
              <w:rPr>
                <w:sz w:val="20"/>
                <w:szCs w:val="20"/>
                <w:color w:val="auto"/>
              </w:rPr>
            </w:pPr>
            <w:r>
              <w:rPr>
                <w:rFonts w:ascii="Arial" w:cs="Arial" w:eastAsia="Arial" w:hAnsi="Arial"/>
                <w:sz w:val="10"/>
                <w:szCs w:val="10"/>
                <w:color w:val="auto"/>
              </w:rPr>
              <w:t>8/15/2021</w:t>
            </w:r>
          </w:p>
        </w:tc>
        <w:tc>
          <w:tcPr>
            <w:tcW w:w="6980" w:type="dxa"/>
            <w:vAlign w:val="bottom"/>
            <w:tcBorders>
              <w:bottom w:val="single" w:sz="8" w:color="00B2E5"/>
            </w:tcBorders>
          </w:tcPr>
          <w:p>
            <w:pPr>
              <w:ind w:left="100"/>
              <w:spacing w:after="0" w:line="99" w:lineRule="exact"/>
              <w:rPr>
                <w:sz w:val="20"/>
                <w:szCs w:val="20"/>
                <w:color w:val="auto"/>
              </w:rPr>
            </w:pPr>
            <w:r>
              <w:rPr>
                <w:rFonts w:ascii="Arial" w:cs="Arial" w:eastAsia="Arial" w:hAnsi="Arial"/>
                <w:sz w:val="10"/>
                <w:szCs w:val="10"/>
                <w:color w:val="auto"/>
              </w:rPr>
              <w:t>This option is fully vested</w:t>
            </w:r>
          </w:p>
        </w:tc>
      </w:tr>
      <w:tr>
        <w:trPr>
          <w:trHeight w:val="98"/>
        </w:trPr>
        <w:tc>
          <w:tcPr>
            <w:tcW w:w="880" w:type="dxa"/>
            <w:vAlign w:val="bottom"/>
            <w:tcBorders>
              <w:bottom w:val="single" w:sz="8" w:color="00B2E5"/>
              <w:right w:val="single" w:sz="8" w:color="63C1DF"/>
            </w:tcBorders>
          </w:tcPr>
          <w:p>
            <w:pPr>
              <w:spacing w:after="0" w:line="99" w:lineRule="exact"/>
              <w:rPr>
                <w:sz w:val="20"/>
                <w:szCs w:val="20"/>
                <w:color w:val="auto"/>
              </w:rPr>
            </w:pPr>
            <w:r>
              <w:rPr>
                <w:rFonts w:ascii="Arial" w:cs="Arial" w:eastAsia="Arial" w:hAnsi="Arial"/>
                <w:sz w:val="10"/>
                <w:szCs w:val="10"/>
                <w:color w:val="auto"/>
              </w:rPr>
              <w:t>RSU2021</w:t>
            </w:r>
          </w:p>
        </w:tc>
        <w:tc>
          <w:tcPr>
            <w:tcW w:w="1180" w:type="dxa"/>
            <w:vAlign w:val="bottom"/>
            <w:tcBorders>
              <w:bottom w:val="single" w:sz="8" w:color="00B2E5"/>
              <w:right w:val="single" w:sz="8" w:color="63C1DF"/>
            </w:tcBorders>
          </w:tcPr>
          <w:p>
            <w:pPr>
              <w:jc w:val="right"/>
              <w:ind w:right="151"/>
              <w:spacing w:after="0" w:line="99" w:lineRule="exact"/>
              <w:rPr>
                <w:sz w:val="20"/>
                <w:szCs w:val="20"/>
                <w:color w:val="auto"/>
              </w:rPr>
            </w:pPr>
            <w:r>
              <w:rPr>
                <w:rFonts w:ascii="Arial" w:cs="Arial" w:eastAsia="Arial" w:hAnsi="Arial"/>
                <w:sz w:val="10"/>
                <w:szCs w:val="10"/>
                <w:color w:val="auto"/>
              </w:rPr>
              <w:t>—</w:t>
            </w:r>
          </w:p>
        </w:tc>
        <w:tc>
          <w:tcPr>
            <w:tcW w:w="6980" w:type="dxa"/>
            <w:vAlign w:val="bottom"/>
            <w:tcBorders>
              <w:bottom w:val="single" w:sz="8" w:color="00B2E5"/>
            </w:tcBorders>
          </w:tcPr>
          <w:p>
            <w:pPr>
              <w:ind w:left="100"/>
              <w:spacing w:after="0" w:line="99" w:lineRule="exact"/>
              <w:rPr>
                <w:sz w:val="20"/>
                <w:szCs w:val="20"/>
                <w:color w:val="auto"/>
              </w:rPr>
            </w:pPr>
            <w:r>
              <w:rPr>
                <w:rFonts w:ascii="Arial" w:cs="Arial" w:eastAsia="Arial" w:hAnsi="Arial"/>
                <w:sz w:val="10"/>
                <w:szCs w:val="10"/>
                <w:color w:val="auto"/>
              </w:rPr>
              <w:t>The RSUs cliff vest 100% on August 15, 2023.</w:t>
            </w:r>
          </w:p>
        </w:tc>
      </w:tr>
      <w:tr>
        <w:trPr>
          <w:trHeight w:val="98"/>
        </w:trPr>
        <w:tc>
          <w:tcPr>
            <w:tcW w:w="880" w:type="dxa"/>
            <w:vAlign w:val="bottom"/>
            <w:tcBorders>
              <w:bottom w:val="single" w:sz="8" w:color="00B2E5"/>
              <w:right w:val="single" w:sz="8" w:color="63C1DF"/>
            </w:tcBorders>
          </w:tcPr>
          <w:p>
            <w:pPr>
              <w:spacing w:after="0" w:line="99" w:lineRule="exact"/>
              <w:rPr>
                <w:sz w:val="20"/>
                <w:szCs w:val="20"/>
                <w:color w:val="auto"/>
              </w:rPr>
            </w:pPr>
            <w:r>
              <w:rPr>
                <w:rFonts w:ascii="Arial" w:cs="Arial" w:eastAsia="Arial" w:hAnsi="Arial"/>
                <w:sz w:val="10"/>
                <w:szCs w:val="10"/>
                <w:color w:val="auto"/>
              </w:rPr>
              <w:t>RSU2020</w:t>
            </w:r>
          </w:p>
        </w:tc>
        <w:tc>
          <w:tcPr>
            <w:tcW w:w="1180" w:type="dxa"/>
            <w:vAlign w:val="bottom"/>
            <w:tcBorders>
              <w:bottom w:val="single" w:sz="8" w:color="00B2E5"/>
              <w:right w:val="single" w:sz="8" w:color="63C1DF"/>
            </w:tcBorders>
          </w:tcPr>
          <w:p>
            <w:pPr>
              <w:jc w:val="right"/>
              <w:ind w:right="151"/>
              <w:spacing w:after="0" w:line="99" w:lineRule="exact"/>
              <w:rPr>
                <w:sz w:val="20"/>
                <w:szCs w:val="20"/>
                <w:color w:val="auto"/>
              </w:rPr>
            </w:pPr>
            <w:r>
              <w:rPr>
                <w:rFonts w:ascii="Arial" w:cs="Arial" w:eastAsia="Arial" w:hAnsi="Arial"/>
                <w:sz w:val="10"/>
                <w:szCs w:val="10"/>
                <w:color w:val="auto"/>
              </w:rPr>
              <w:t>—</w:t>
            </w:r>
          </w:p>
        </w:tc>
        <w:tc>
          <w:tcPr>
            <w:tcW w:w="6980" w:type="dxa"/>
            <w:vAlign w:val="bottom"/>
            <w:tcBorders>
              <w:bottom w:val="single" w:sz="8" w:color="00B2E5"/>
            </w:tcBorders>
          </w:tcPr>
          <w:p>
            <w:pPr>
              <w:ind w:left="100"/>
              <w:spacing w:after="0" w:line="99" w:lineRule="exact"/>
              <w:rPr>
                <w:sz w:val="20"/>
                <w:szCs w:val="20"/>
                <w:color w:val="auto"/>
              </w:rPr>
            </w:pPr>
            <w:r>
              <w:rPr>
                <w:rFonts w:ascii="Arial" w:cs="Arial" w:eastAsia="Arial" w:hAnsi="Arial"/>
                <w:sz w:val="10"/>
                <w:szCs w:val="10"/>
                <w:color w:val="auto"/>
              </w:rPr>
              <w:t>The RSUs cliff vest 100% on December 16, 2022.</w:t>
            </w:r>
          </w:p>
        </w:tc>
      </w:tr>
      <w:tr>
        <w:trPr>
          <w:trHeight w:val="98"/>
        </w:trPr>
        <w:tc>
          <w:tcPr>
            <w:tcW w:w="880" w:type="dxa"/>
            <w:vAlign w:val="bottom"/>
            <w:tcBorders>
              <w:bottom w:val="single" w:sz="8" w:color="00B2E5"/>
              <w:right w:val="single" w:sz="8" w:color="63C1DF"/>
            </w:tcBorders>
          </w:tcPr>
          <w:p>
            <w:pPr>
              <w:spacing w:after="0" w:line="99" w:lineRule="exact"/>
              <w:rPr>
                <w:sz w:val="20"/>
                <w:szCs w:val="20"/>
                <w:color w:val="auto"/>
              </w:rPr>
            </w:pPr>
            <w:r>
              <w:rPr>
                <w:rFonts w:ascii="Arial" w:cs="Arial" w:eastAsia="Arial" w:hAnsi="Arial"/>
                <w:sz w:val="10"/>
                <w:szCs w:val="10"/>
                <w:color w:val="auto"/>
              </w:rPr>
              <w:t>RSU2019</w:t>
            </w:r>
          </w:p>
        </w:tc>
        <w:tc>
          <w:tcPr>
            <w:tcW w:w="1180" w:type="dxa"/>
            <w:vAlign w:val="bottom"/>
            <w:tcBorders>
              <w:bottom w:val="single" w:sz="8" w:color="00B2E5"/>
              <w:right w:val="single" w:sz="8" w:color="63C1DF"/>
            </w:tcBorders>
          </w:tcPr>
          <w:p>
            <w:pPr>
              <w:jc w:val="right"/>
              <w:ind w:right="151"/>
              <w:spacing w:after="0" w:line="99" w:lineRule="exact"/>
              <w:rPr>
                <w:sz w:val="20"/>
                <w:szCs w:val="20"/>
                <w:color w:val="auto"/>
              </w:rPr>
            </w:pPr>
            <w:r>
              <w:rPr>
                <w:rFonts w:ascii="Arial" w:cs="Arial" w:eastAsia="Arial" w:hAnsi="Arial"/>
                <w:sz w:val="10"/>
                <w:szCs w:val="10"/>
                <w:color w:val="auto"/>
              </w:rPr>
              <w:t>—</w:t>
            </w:r>
          </w:p>
        </w:tc>
        <w:tc>
          <w:tcPr>
            <w:tcW w:w="6980" w:type="dxa"/>
            <w:vAlign w:val="bottom"/>
            <w:tcBorders>
              <w:bottom w:val="single" w:sz="8" w:color="00B2E5"/>
            </w:tcBorders>
          </w:tcPr>
          <w:p>
            <w:pPr>
              <w:ind w:left="100"/>
              <w:spacing w:after="0" w:line="99" w:lineRule="exact"/>
              <w:rPr>
                <w:sz w:val="20"/>
                <w:szCs w:val="20"/>
                <w:color w:val="auto"/>
              </w:rPr>
            </w:pPr>
            <w:r>
              <w:rPr>
                <w:rFonts w:ascii="Arial" w:cs="Arial" w:eastAsia="Arial" w:hAnsi="Arial"/>
                <w:sz w:val="10"/>
                <w:szCs w:val="10"/>
                <w:color w:val="auto"/>
              </w:rPr>
              <w:t>The RSUs cliff vest 100% on December 17, 2021.</w:t>
            </w:r>
          </w:p>
        </w:tc>
      </w:tr>
      <w:tr>
        <w:trPr>
          <w:trHeight w:val="98"/>
        </w:trPr>
        <w:tc>
          <w:tcPr>
            <w:tcW w:w="880" w:type="dxa"/>
            <w:vAlign w:val="bottom"/>
            <w:tcBorders>
              <w:bottom w:val="single" w:sz="8" w:color="00B2E5"/>
              <w:right w:val="single" w:sz="8" w:color="63C1DF"/>
            </w:tcBorders>
          </w:tcPr>
          <w:p>
            <w:pPr>
              <w:spacing w:after="0" w:line="99" w:lineRule="exact"/>
              <w:rPr>
                <w:sz w:val="20"/>
                <w:szCs w:val="20"/>
                <w:color w:val="auto"/>
              </w:rPr>
            </w:pPr>
            <w:r>
              <w:rPr>
                <w:rFonts w:ascii="Arial" w:cs="Arial" w:eastAsia="Arial" w:hAnsi="Arial"/>
                <w:sz w:val="10"/>
                <w:szCs w:val="10"/>
                <w:color w:val="auto"/>
              </w:rPr>
              <w:t>RSU2018</w:t>
            </w:r>
          </w:p>
        </w:tc>
        <w:tc>
          <w:tcPr>
            <w:tcW w:w="1180" w:type="dxa"/>
            <w:vAlign w:val="bottom"/>
            <w:tcBorders>
              <w:bottom w:val="single" w:sz="8" w:color="00B2E5"/>
              <w:right w:val="single" w:sz="8" w:color="63C1DF"/>
            </w:tcBorders>
          </w:tcPr>
          <w:p>
            <w:pPr>
              <w:jc w:val="right"/>
              <w:ind w:right="151"/>
              <w:spacing w:after="0" w:line="99" w:lineRule="exact"/>
              <w:rPr>
                <w:sz w:val="20"/>
                <w:szCs w:val="20"/>
                <w:color w:val="auto"/>
              </w:rPr>
            </w:pPr>
            <w:r>
              <w:rPr>
                <w:rFonts w:ascii="Arial" w:cs="Arial" w:eastAsia="Arial" w:hAnsi="Arial"/>
                <w:sz w:val="10"/>
                <w:szCs w:val="10"/>
                <w:color w:val="auto"/>
              </w:rPr>
              <w:t>—</w:t>
            </w:r>
          </w:p>
        </w:tc>
        <w:tc>
          <w:tcPr>
            <w:tcW w:w="6980" w:type="dxa"/>
            <w:vAlign w:val="bottom"/>
            <w:tcBorders>
              <w:bottom w:val="single" w:sz="8" w:color="00B2E5"/>
            </w:tcBorders>
          </w:tcPr>
          <w:p>
            <w:pPr>
              <w:ind w:left="100"/>
              <w:spacing w:after="0" w:line="99" w:lineRule="exact"/>
              <w:rPr>
                <w:sz w:val="20"/>
                <w:szCs w:val="20"/>
                <w:color w:val="auto"/>
              </w:rPr>
            </w:pPr>
            <w:r>
              <w:rPr>
                <w:rFonts w:ascii="Arial" w:cs="Arial" w:eastAsia="Arial" w:hAnsi="Arial"/>
                <w:sz w:val="10"/>
                <w:szCs w:val="10"/>
                <w:color w:val="auto"/>
              </w:rPr>
              <w:t>The RSUs cliff vest 100% on December 15, 2020.</w:t>
            </w:r>
          </w:p>
        </w:tc>
      </w:tr>
      <w:tr>
        <w:trPr>
          <w:trHeight w:val="98"/>
        </w:trPr>
        <w:tc>
          <w:tcPr>
            <w:tcW w:w="880" w:type="dxa"/>
            <w:vAlign w:val="bottom"/>
            <w:tcBorders>
              <w:bottom w:val="single" w:sz="8" w:color="00B2E5"/>
              <w:right w:val="single" w:sz="8" w:color="63C1DF"/>
            </w:tcBorders>
          </w:tcPr>
          <w:p>
            <w:pPr>
              <w:spacing w:after="0" w:line="99" w:lineRule="exact"/>
              <w:rPr>
                <w:sz w:val="20"/>
                <w:szCs w:val="20"/>
                <w:color w:val="auto"/>
              </w:rPr>
            </w:pPr>
            <w:r>
              <w:rPr>
                <w:rFonts w:ascii="Arial" w:cs="Arial" w:eastAsia="Arial" w:hAnsi="Arial"/>
                <w:sz w:val="10"/>
                <w:szCs w:val="10"/>
                <w:color w:val="auto"/>
              </w:rPr>
              <w:t>PEP2020</w:t>
            </w:r>
          </w:p>
        </w:tc>
        <w:tc>
          <w:tcPr>
            <w:tcW w:w="1180" w:type="dxa"/>
            <w:vAlign w:val="bottom"/>
            <w:tcBorders>
              <w:bottom w:val="single" w:sz="8" w:color="00B2E5"/>
              <w:right w:val="single" w:sz="8" w:color="63C1DF"/>
            </w:tcBorders>
          </w:tcPr>
          <w:p>
            <w:pPr>
              <w:jc w:val="right"/>
              <w:ind w:right="151"/>
              <w:spacing w:after="0" w:line="99" w:lineRule="exact"/>
              <w:rPr>
                <w:sz w:val="20"/>
                <w:szCs w:val="20"/>
                <w:color w:val="auto"/>
              </w:rPr>
            </w:pPr>
            <w:r>
              <w:rPr>
                <w:rFonts w:ascii="Arial" w:cs="Arial" w:eastAsia="Arial" w:hAnsi="Arial"/>
                <w:sz w:val="10"/>
                <w:szCs w:val="10"/>
                <w:color w:val="auto"/>
              </w:rPr>
              <w:t>—</w:t>
            </w:r>
          </w:p>
        </w:tc>
        <w:tc>
          <w:tcPr>
            <w:tcW w:w="6980" w:type="dxa"/>
            <w:vAlign w:val="bottom"/>
            <w:tcBorders>
              <w:bottom w:val="single" w:sz="8" w:color="00B2E5"/>
            </w:tcBorders>
          </w:tcPr>
          <w:p>
            <w:pPr>
              <w:ind w:left="100"/>
              <w:spacing w:after="0" w:line="99" w:lineRule="exact"/>
              <w:rPr>
                <w:sz w:val="20"/>
                <w:szCs w:val="20"/>
                <w:color w:val="auto"/>
              </w:rPr>
            </w:pPr>
            <w:r>
              <w:rPr>
                <w:rFonts w:ascii="Arial" w:cs="Arial" w:eastAsia="Arial" w:hAnsi="Arial"/>
                <w:sz w:val="10"/>
                <w:szCs w:val="10"/>
                <w:color w:val="auto"/>
              </w:rPr>
              <w:t>The PEPs cliff vest 100% on December 16, 2022, subject to satisfaction of performance conditions.</w:t>
            </w:r>
          </w:p>
        </w:tc>
      </w:tr>
      <w:tr>
        <w:trPr>
          <w:trHeight w:val="98"/>
        </w:trPr>
        <w:tc>
          <w:tcPr>
            <w:tcW w:w="880" w:type="dxa"/>
            <w:vAlign w:val="bottom"/>
            <w:tcBorders>
              <w:bottom w:val="single" w:sz="8" w:color="00B2E5"/>
              <w:right w:val="single" w:sz="8" w:color="63C1DF"/>
            </w:tcBorders>
          </w:tcPr>
          <w:p>
            <w:pPr>
              <w:spacing w:after="0" w:line="99" w:lineRule="exact"/>
              <w:rPr>
                <w:sz w:val="20"/>
                <w:szCs w:val="20"/>
                <w:color w:val="auto"/>
              </w:rPr>
            </w:pPr>
            <w:r>
              <w:rPr>
                <w:rFonts w:ascii="Arial" w:cs="Arial" w:eastAsia="Arial" w:hAnsi="Arial"/>
                <w:sz w:val="10"/>
                <w:szCs w:val="10"/>
                <w:color w:val="auto"/>
              </w:rPr>
              <w:t>PEP2019</w:t>
            </w:r>
          </w:p>
        </w:tc>
        <w:tc>
          <w:tcPr>
            <w:tcW w:w="1180" w:type="dxa"/>
            <w:vAlign w:val="bottom"/>
            <w:tcBorders>
              <w:bottom w:val="single" w:sz="8" w:color="00B2E5"/>
              <w:right w:val="single" w:sz="8" w:color="63C1DF"/>
            </w:tcBorders>
          </w:tcPr>
          <w:p>
            <w:pPr>
              <w:jc w:val="right"/>
              <w:ind w:right="151"/>
              <w:spacing w:after="0" w:line="99" w:lineRule="exact"/>
              <w:rPr>
                <w:sz w:val="20"/>
                <w:szCs w:val="20"/>
                <w:color w:val="auto"/>
              </w:rPr>
            </w:pPr>
            <w:r>
              <w:rPr>
                <w:rFonts w:ascii="Arial" w:cs="Arial" w:eastAsia="Arial" w:hAnsi="Arial"/>
                <w:sz w:val="10"/>
                <w:szCs w:val="10"/>
                <w:color w:val="auto"/>
              </w:rPr>
              <w:t>—</w:t>
            </w:r>
          </w:p>
        </w:tc>
        <w:tc>
          <w:tcPr>
            <w:tcW w:w="6980" w:type="dxa"/>
            <w:vAlign w:val="bottom"/>
            <w:tcBorders>
              <w:bottom w:val="single" w:sz="8" w:color="00B2E5"/>
            </w:tcBorders>
          </w:tcPr>
          <w:p>
            <w:pPr>
              <w:ind w:left="100"/>
              <w:spacing w:after="0" w:line="99" w:lineRule="exact"/>
              <w:rPr>
                <w:sz w:val="20"/>
                <w:szCs w:val="20"/>
                <w:color w:val="auto"/>
              </w:rPr>
            </w:pPr>
            <w:r>
              <w:rPr>
                <w:rFonts w:ascii="Arial" w:cs="Arial" w:eastAsia="Arial" w:hAnsi="Arial"/>
                <w:sz w:val="10"/>
                <w:szCs w:val="10"/>
                <w:color w:val="auto"/>
              </w:rPr>
              <w:t>The PEPs cliff vest 100% on December 17, 2021, subject to satisfaction of performance conditions.</w:t>
            </w:r>
          </w:p>
        </w:tc>
      </w:tr>
      <w:tr>
        <w:trPr>
          <w:trHeight w:val="98"/>
        </w:trPr>
        <w:tc>
          <w:tcPr>
            <w:tcW w:w="880" w:type="dxa"/>
            <w:vAlign w:val="bottom"/>
            <w:tcBorders>
              <w:bottom w:val="single" w:sz="8" w:color="00B2E5"/>
              <w:right w:val="single" w:sz="8" w:color="63C1DF"/>
            </w:tcBorders>
          </w:tcPr>
          <w:p>
            <w:pPr>
              <w:spacing w:after="0" w:line="99" w:lineRule="exact"/>
              <w:rPr>
                <w:sz w:val="20"/>
                <w:szCs w:val="20"/>
                <w:color w:val="auto"/>
              </w:rPr>
            </w:pPr>
            <w:r>
              <w:rPr>
                <w:rFonts w:ascii="Arial" w:cs="Arial" w:eastAsia="Arial" w:hAnsi="Arial"/>
                <w:sz w:val="10"/>
                <w:szCs w:val="10"/>
                <w:color w:val="auto"/>
              </w:rPr>
              <w:t>PEP2018</w:t>
            </w:r>
          </w:p>
        </w:tc>
        <w:tc>
          <w:tcPr>
            <w:tcW w:w="1180" w:type="dxa"/>
            <w:vAlign w:val="bottom"/>
            <w:tcBorders>
              <w:bottom w:val="single" w:sz="8" w:color="00B2E5"/>
              <w:right w:val="single" w:sz="8" w:color="63C1DF"/>
            </w:tcBorders>
          </w:tcPr>
          <w:p>
            <w:pPr>
              <w:jc w:val="right"/>
              <w:ind w:right="151"/>
              <w:spacing w:after="0" w:line="99" w:lineRule="exact"/>
              <w:rPr>
                <w:sz w:val="20"/>
                <w:szCs w:val="20"/>
                <w:color w:val="auto"/>
              </w:rPr>
            </w:pPr>
            <w:r>
              <w:rPr>
                <w:rFonts w:ascii="Arial" w:cs="Arial" w:eastAsia="Arial" w:hAnsi="Arial"/>
                <w:sz w:val="10"/>
                <w:szCs w:val="10"/>
                <w:color w:val="auto"/>
              </w:rPr>
              <w:t>—</w:t>
            </w:r>
          </w:p>
        </w:tc>
        <w:tc>
          <w:tcPr>
            <w:tcW w:w="6980" w:type="dxa"/>
            <w:vAlign w:val="bottom"/>
            <w:tcBorders>
              <w:bottom w:val="single" w:sz="8" w:color="00B2E5"/>
            </w:tcBorders>
          </w:tcPr>
          <w:p>
            <w:pPr>
              <w:ind w:left="100"/>
              <w:spacing w:after="0" w:line="99" w:lineRule="exact"/>
              <w:rPr>
                <w:sz w:val="20"/>
                <w:szCs w:val="20"/>
                <w:color w:val="auto"/>
              </w:rPr>
            </w:pPr>
            <w:r>
              <w:rPr>
                <w:rFonts w:ascii="Arial" w:cs="Arial" w:eastAsia="Arial" w:hAnsi="Arial"/>
                <w:sz w:val="10"/>
                <w:szCs w:val="10"/>
                <w:color w:val="auto"/>
              </w:rPr>
              <w:t>The PEPs cliff vest 100% on December 15, 2020, subject to satisfaction of performance conditions.</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The vesting of the RSU awards and PEP awards is subject to continued employment through the applicable vesting date (except in the case of certain qualifying 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76770" cy="114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Option Exercises and Stock Vested for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None of our NEOs exercised any options during Fiscal Year 2020. The following table sets forth information about the value realized by the NEOs on stock awards that vested during the fiscal year ended September 30, 2020.</w:t>
      </w:r>
    </w:p>
    <w:p>
      <w:pPr>
        <w:spacing w:after="0" w:line="107" w:lineRule="exact"/>
        <w:rPr>
          <w:sz w:val="20"/>
          <w:szCs w:val="20"/>
          <w:color w:val="auto"/>
        </w:rPr>
      </w:pPr>
    </w:p>
    <w:tbl>
      <w:tblPr>
        <w:tblLayout w:type="fixed"/>
        <w:tblInd w:w="1120" w:type="dxa"/>
        <w:tblCellMar>
          <w:top w:w="0" w:type="dxa"/>
          <w:left w:w="0" w:type="dxa"/>
          <w:bottom w:w="0" w:type="dxa"/>
          <w:right w:w="0" w:type="dxa"/>
        </w:tblCellMar>
      </w:tblPr>
      <w:tr>
        <w:trPr>
          <w:trHeight w:val="118"/>
        </w:trPr>
        <w:tc>
          <w:tcPr>
            <w:tcW w:w="2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60" w:type="dxa"/>
            <w:vAlign w:val="bottom"/>
            <w:tcBorders>
              <w:bottom w:val="single" w:sz="8" w:color="00B2E5"/>
            </w:tcBorders>
          </w:tcPr>
          <w:p>
            <w:pPr>
              <w:jc w:val="right"/>
              <w:ind w:right="911"/>
              <w:spacing w:after="0"/>
              <w:rPr>
                <w:sz w:val="20"/>
                <w:szCs w:val="20"/>
                <w:color w:val="auto"/>
              </w:rPr>
            </w:pPr>
            <w:r>
              <w:rPr>
                <w:rFonts w:ascii="Arial" w:cs="Arial" w:eastAsia="Arial" w:hAnsi="Arial"/>
                <w:sz w:val="10"/>
                <w:szCs w:val="10"/>
                <w:b w:val="1"/>
                <w:bCs w:val="1"/>
                <w:color w:val="auto"/>
              </w:rPr>
              <w:t>Stock Awards</w:t>
            </w:r>
          </w:p>
        </w:tc>
        <w:tc>
          <w:tcPr>
            <w:tcW w:w="1700" w:type="dxa"/>
            <w:vAlign w:val="bottom"/>
            <w:tcBorders>
              <w:bottom w:val="single" w:sz="8" w:color="00B2E5"/>
            </w:tcBorders>
          </w:tcPr>
          <w:p>
            <w:pPr>
              <w:spacing w:after="0"/>
              <w:rPr>
                <w:sz w:val="10"/>
                <w:szCs w:val="10"/>
                <w:color w:val="auto"/>
              </w:rPr>
            </w:pPr>
          </w:p>
        </w:tc>
        <w:tc>
          <w:tcPr>
            <w:tcW w:w="20" w:type="dxa"/>
            <w:vAlign w:val="bottom"/>
          </w:tcPr>
          <w:p>
            <w:pPr>
              <w:spacing w:after="0"/>
              <w:rPr>
                <w:sz w:val="10"/>
                <w:szCs w:val="10"/>
                <w:color w:val="auto"/>
              </w:rPr>
            </w:pPr>
          </w:p>
        </w:tc>
      </w:tr>
      <w:tr>
        <w:trPr>
          <w:trHeight w:val="99"/>
        </w:trPr>
        <w:tc>
          <w:tcPr>
            <w:tcW w:w="2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60" w:type="dxa"/>
            <w:vAlign w:val="bottom"/>
          </w:tcPr>
          <w:p>
            <w:pPr>
              <w:jc w:val="right"/>
              <w:ind w:right="1131"/>
              <w:spacing w:after="0" w:line="99" w:lineRule="exact"/>
              <w:rPr>
                <w:sz w:val="20"/>
                <w:szCs w:val="20"/>
                <w:color w:val="auto"/>
              </w:rPr>
            </w:pPr>
            <w:r>
              <w:rPr>
                <w:rFonts w:ascii="Arial" w:cs="Arial" w:eastAsia="Arial" w:hAnsi="Arial"/>
                <w:sz w:val="10"/>
                <w:szCs w:val="10"/>
                <w:b w:val="1"/>
                <w:bCs w:val="1"/>
                <w:color w:val="auto"/>
              </w:rPr>
              <w:t>Number of Shares</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9"/>
        </w:trPr>
        <w:tc>
          <w:tcPr>
            <w:tcW w:w="2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60" w:type="dxa"/>
            <w:vAlign w:val="bottom"/>
          </w:tcPr>
          <w:p>
            <w:pPr>
              <w:jc w:val="right"/>
              <w:ind w:right="1131"/>
              <w:spacing w:after="0" w:line="110" w:lineRule="exact"/>
              <w:rPr>
                <w:sz w:val="20"/>
                <w:szCs w:val="20"/>
                <w:color w:val="auto"/>
              </w:rPr>
            </w:pPr>
            <w:r>
              <w:rPr>
                <w:rFonts w:ascii="Arial" w:cs="Arial" w:eastAsia="Arial" w:hAnsi="Arial"/>
                <w:sz w:val="10"/>
                <w:szCs w:val="10"/>
                <w:b w:val="1"/>
                <w:bCs w:val="1"/>
                <w:color w:val="auto"/>
              </w:rPr>
              <w:t>Acquired on</w:t>
            </w:r>
          </w:p>
        </w:tc>
        <w:tc>
          <w:tcPr>
            <w:tcW w:w="1720" w:type="dxa"/>
            <w:vAlign w:val="bottom"/>
            <w:gridSpan w:val="2"/>
          </w:tcPr>
          <w:p>
            <w:pPr>
              <w:jc w:val="right"/>
              <w:ind w:right="20"/>
              <w:spacing w:after="0" w:line="110" w:lineRule="exact"/>
              <w:rPr>
                <w:sz w:val="20"/>
                <w:szCs w:val="20"/>
                <w:color w:val="auto"/>
              </w:rPr>
            </w:pPr>
            <w:r>
              <w:rPr>
                <w:rFonts w:ascii="Arial" w:cs="Arial" w:eastAsia="Arial" w:hAnsi="Arial"/>
                <w:sz w:val="10"/>
                <w:szCs w:val="10"/>
                <w:b w:val="1"/>
                <w:bCs w:val="1"/>
                <w:color w:val="auto"/>
              </w:rPr>
              <w:t>Value Realized</w:t>
            </w:r>
          </w:p>
        </w:tc>
      </w:tr>
      <w:tr>
        <w:trPr>
          <w:trHeight w:val="118"/>
        </w:trPr>
        <w:tc>
          <w:tcPr>
            <w:tcW w:w="3080" w:type="dxa"/>
            <w:vAlign w:val="bottom"/>
            <w:gridSpan w:val="2"/>
          </w:tcPr>
          <w:p>
            <w:pPr>
              <w:spacing w:after="0"/>
              <w:rPr>
                <w:sz w:val="20"/>
                <w:szCs w:val="20"/>
                <w:color w:val="auto"/>
              </w:rPr>
            </w:pPr>
            <w:r>
              <w:rPr>
                <w:rFonts w:ascii="Arial" w:cs="Arial" w:eastAsia="Arial" w:hAnsi="Arial"/>
                <w:sz w:val="10"/>
                <w:szCs w:val="10"/>
                <w:b w:val="1"/>
                <w:bCs w:val="1"/>
                <w:color w:val="auto"/>
              </w:rPr>
              <w:t>Name</w:t>
            </w:r>
          </w:p>
        </w:tc>
        <w:tc>
          <w:tcPr>
            <w:tcW w:w="4260" w:type="dxa"/>
            <w:vAlign w:val="bottom"/>
          </w:tcPr>
          <w:p>
            <w:pPr>
              <w:jc w:val="right"/>
              <w:ind w:right="1131"/>
              <w:spacing w:after="0"/>
              <w:rPr>
                <w:sz w:val="20"/>
                <w:szCs w:val="20"/>
                <w:color w:val="auto"/>
              </w:rPr>
            </w:pPr>
            <w:r>
              <w:rPr>
                <w:rFonts w:ascii="Arial" w:cs="Arial" w:eastAsia="Arial" w:hAnsi="Arial"/>
                <w:sz w:val="10"/>
                <w:szCs w:val="10"/>
                <w:b w:val="1"/>
                <w:bCs w:val="1"/>
                <w:color w:val="auto"/>
              </w:rPr>
              <w:t>Vesting(#)</w:t>
            </w:r>
          </w:p>
        </w:tc>
        <w:tc>
          <w:tcPr>
            <w:tcW w:w="17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on Vesting($)(1)</w:t>
            </w:r>
          </w:p>
        </w:tc>
      </w:tr>
      <w:tr>
        <w:trPr>
          <w:trHeight w:val="99"/>
        </w:trPr>
        <w:tc>
          <w:tcPr>
            <w:tcW w:w="3080" w:type="dxa"/>
            <w:vAlign w:val="bottom"/>
            <w:tcBorders>
              <w:top w:val="single" w:sz="8" w:color="00B2E5"/>
            </w:tcBorders>
            <w:gridSpan w:val="2"/>
          </w:tcPr>
          <w:p>
            <w:pPr>
              <w:spacing w:after="0" w:line="99" w:lineRule="exact"/>
              <w:rPr>
                <w:sz w:val="20"/>
                <w:szCs w:val="20"/>
                <w:color w:val="auto"/>
              </w:rPr>
            </w:pPr>
            <w:r>
              <w:rPr>
                <w:rFonts w:ascii="Arial" w:cs="Arial" w:eastAsia="Arial" w:hAnsi="Arial"/>
                <w:sz w:val="10"/>
                <w:szCs w:val="10"/>
                <w:color w:val="auto"/>
              </w:rPr>
              <w:t>W. Troy Rudd</w:t>
            </w:r>
          </w:p>
        </w:tc>
        <w:tc>
          <w:tcPr>
            <w:tcW w:w="4260" w:type="dxa"/>
            <w:vAlign w:val="bottom"/>
            <w:tcBorders>
              <w:top w:val="single" w:sz="8" w:color="00B2E5"/>
            </w:tcBorders>
          </w:tcPr>
          <w:p>
            <w:pPr>
              <w:jc w:val="right"/>
              <w:ind w:right="1131"/>
              <w:spacing w:after="0" w:line="99" w:lineRule="exact"/>
              <w:rPr>
                <w:sz w:val="20"/>
                <w:szCs w:val="20"/>
                <w:color w:val="auto"/>
              </w:rPr>
            </w:pPr>
            <w:r>
              <w:rPr>
                <w:rFonts w:ascii="Arial" w:cs="Arial" w:eastAsia="Arial" w:hAnsi="Arial"/>
                <w:sz w:val="10"/>
                <w:szCs w:val="10"/>
                <w:color w:val="auto"/>
              </w:rPr>
              <w:t>35,607</w:t>
            </w:r>
          </w:p>
        </w:tc>
        <w:tc>
          <w:tcPr>
            <w:tcW w:w="1700" w:type="dxa"/>
            <w:vAlign w:val="bottom"/>
            <w:tcBorders>
              <w:top w:val="single" w:sz="8" w:color="00B2E5"/>
            </w:tcBorders>
          </w:tcPr>
          <w:p>
            <w:pPr>
              <w:jc w:val="right"/>
              <w:spacing w:after="0" w:line="99" w:lineRule="exact"/>
              <w:rPr>
                <w:sz w:val="20"/>
                <w:szCs w:val="20"/>
                <w:color w:val="auto"/>
              </w:rPr>
            </w:pPr>
            <w:r>
              <w:rPr>
                <w:rFonts w:ascii="Arial" w:cs="Arial" w:eastAsia="Arial" w:hAnsi="Arial"/>
                <w:sz w:val="10"/>
                <w:szCs w:val="10"/>
                <w:color w:val="auto"/>
              </w:rPr>
              <w:t>$1,526,828</w:t>
            </w:r>
          </w:p>
        </w:tc>
        <w:tc>
          <w:tcPr>
            <w:tcW w:w="20" w:type="dxa"/>
            <w:vAlign w:val="bottom"/>
          </w:tcPr>
          <w:p>
            <w:pPr>
              <w:spacing w:after="0"/>
              <w:rPr>
                <w:sz w:val="8"/>
                <w:szCs w:val="8"/>
                <w:color w:val="auto"/>
              </w:rPr>
            </w:pPr>
          </w:p>
        </w:tc>
      </w:tr>
      <w:tr>
        <w:trPr>
          <w:trHeight w:val="109"/>
        </w:trPr>
        <w:tc>
          <w:tcPr>
            <w:tcW w:w="3080" w:type="dxa"/>
            <w:vAlign w:val="bottom"/>
            <w:gridSpan w:val="2"/>
          </w:tcPr>
          <w:p>
            <w:pPr>
              <w:spacing w:after="0" w:line="110" w:lineRule="exact"/>
              <w:rPr>
                <w:sz w:val="20"/>
                <w:szCs w:val="20"/>
                <w:color w:val="auto"/>
              </w:rPr>
            </w:pPr>
            <w:r>
              <w:rPr>
                <w:rFonts w:ascii="Arial" w:cs="Arial" w:eastAsia="Arial" w:hAnsi="Arial"/>
                <w:sz w:val="10"/>
                <w:szCs w:val="10"/>
                <w:color w:val="auto"/>
              </w:rPr>
              <w:t>Gaurav Kapoor</w:t>
            </w:r>
          </w:p>
        </w:tc>
        <w:tc>
          <w:tcPr>
            <w:tcW w:w="4260" w:type="dxa"/>
            <w:vAlign w:val="bottom"/>
          </w:tcPr>
          <w:p>
            <w:pPr>
              <w:jc w:val="right"/>
              <w:ind w:right="1131"/>
              <w:spacing w:after="0" w:line="110" w:lineRule="exact"/>
              <w:rPr>
                <w:sz w:val="20"/>
                <w:szCs w:val="20"/>
                <w:color w:val="auto"/>
              </w:rPr>
            </w:pPr>
            <w:r>
              <w:rPr>
                <w:rFonts w:ascii="Arial" w:cs="Arial" w:eastAsia="Arial" w:hAnsi="Arial"/>
                <w:sz w:val="10"/>
                <w:szCs w:val="10"/>
                <w:color w:val="auto"/>
              </w:rPr>
              <w:t>9,741</w:t>
            </w:r>
          </w:p>
        </w:tc>
        <w:tc>
          <w:tcPr>
            <w:tcW w:w="1720" w:type="dxa"/>
            <w:vAlign w:val="bottom"/>
            <w:gridSpan w:val="2"/>
          </w:tcPr>
          <w:p>
            <w:pPr>
              <w:jc w:val="right"/>
              <w:ind w:right="20"/>
              <w:spacing w:after="0" w:line="110" w:lineRule="exact"/>
              <w:rPr>
                <w:sz w:val="20"/>
                <w:szCs w:val="20"/>
                <w:color w:val="auto"/>
              </w:rPr>
            </w:pPr>
            <w:r>
              <w:rPr>
                <w:rFonts w:ascii="Arial" w:cs="Arial" w:eastAsia="Arial" w:hAnsi="Arial"/>
                <w:sz w:val="10"/>
                <w:szCs w:val="10"/>
                <w:color w:val="auto"/>
              </w:rPr>
              <w:t>$417,694</w:t>
            </w:r>
          </w:p>
        </w:tc>
      </w:tr>
      <w:tr>
        <w:trPr>
          <w:trHeight w:val="109"/>
        </w:trPr>
        <w:tc>
          <w:tcPr>
            <w:tcW w:w="3080" w:type="dxa"/>
            <w:vAlign w:val="bottom"/>
            <w:gridSpan w:val="2"/>
          </w:tcPr>
          <w:p>
            <w:pPr>
              <w:spacing w:after="0" w:line="110" w:lineRule="exact"/>
              <w:rPr>
                <w:sz w:val="20"/>
                <w:szCs w:val="20"/>
                <w:color w:val="auto"/>
              </w:rPr>
            </w:pPr>
            <w:r>
              <w:rPr>
                <w:rFonts w:ascii="Arial" w:cs="Arial" w:eastAsia="Arial" w:hAnsi="Arial"/>
                <w:sz w:val="10"/>
                <w:szCs w:val="10"/>
                <w:color w:val="auto"/>
              </w:rPr>
              <w:t>Lara Poloni</w:t>
            </w:r>
          </w:p>
        </w:tc>
        <w:tc>
          <w:tcPr>
            <w:tcW w:w="4260" w:type="dxa"/>
            <w:vAlign w:val="bottom"/>
          </w:tcPr>
          <w:p>
            <w:pPr>
              <w:jc w:val="right"/>
              <w:ind w:right="1131"/>
              <w:spacing w:after="0" w:line="110" w:lineRule="exact"/>
              <w:rPr>
                <w:sz w:val="20"/>
                <w:szCs w:val="20"/>
                <w:color w:val="auto"/>
              </w:rPr>
            </w:pPr>
            <w:r>
              <w:rPr>
                <w:rFonts w:ascii="Arial" w:cs="Arial" w:eastAsia="Arial" w:hAnsi="Arial"/>
                <w:sz w:val="10"/>
                <w:szCs w:val="10"/>
                <w:color w:val="auto"/>
              </w:rPr>
              <w:t>5,011</w:t>
            </w:r>
          </w:p>
        </w:tc>
        <w:tc>
          <w:tcPr>
            <w:tcW w:w="1720" w:type="dxa"/>
            <w:vAlign w:val="bottom"/>
            <w:gridSpan w:val="2"/>
          </w:tcPr>
          <w:p>
            <w:pPr>
              <w:jc w:val="right"/>
              <w:ind w:right="20"/>
              <w:spacing w:after="0" w:line="110" w:lineRule="exact"/>
              <w:rPr>
                <w:sz w:val="20"/>
                <w:szCs w:val="20"/>
                <w:color w:val="auto"/>
              </w:rPr>
            </w:pPr>
            <w:r>
              <w:rPr>
                <w:rFonts w:ascii="Arial" w:cs="Arial" w:eastAsia="Arial" w:hAnsi="Arial"/>
                <w:sz w:val="10"/>
                <w:szCs w:val="10"/>
                <w:color w:val="auto"/>
              </w:rPr>
              <w:t>$214,872</w:t>
            </w:r>
          </w:p>
        </w:tc>
      </w:tr>
      <w:tr>
        <w:trPr>
          <w:trHeight w:val="109"/>
        </w:trPr>
        <w:tc>
          <w:tcPr>
            <w:tcW w:w="3080" w:type="dxa"/>
            <w:vAlign w:val="bottom"/>
            <w:gridSpan w:val="2"/>
          </w:tcPr>
          <w:p>
            <w:pPr>
              <w:spacing w:after="0" w:line="110" w:lineRule="exact"/>
              <w:rPr>
                <w:sz w:val="20"/>
                <w:szCs w:val="20"/>
                <w:color w:val="auto"/>
              </w:rPr>
            </w:pPr>
            <w:r>
              <w:rPr>
                <w:rFonts w:ascii="Arial" w:cs="Arial" w:eastAsia="Arial" w:hAnsi="Arial"/>
                <w:sz w:val="10"/>
                <w:szCs w:val="10"/>
                <w:color w:val="auto"/>
              </w:rPr>
              <w:t>Randall A. Wotring</w:t>
            </w:r>
          </w:p>
        </w:tc>
        <w:tc>
          <w:tcPr>
            <w:tcW w:w="4260" w:type="dxa"/>
            <w:vAlign w:val="bottom"/>
          </w:tcPr>
          <w:p>
            <w:pPr>
              <w:jc w:val="right"/>
              <w:ind w:right="1131"/>
              <w:spacing w:after="0" w:line="110" w:lineRule="exact"/>
              <w:rPr>
                <w:sz w:val="20"/>
                <w:szCs w:val="20"/>
                <w:color w:val="auto"/>
              </w:rPr>
            </w:pPr>
            <w:r>
              <w:rPr>
                <w:rFonts w:ascii="Arial" w:cs="Arial" w:eastAsia="Arial" w:hAnsi="Arial"/>
                <w:sz w:val="10"/>
                <w:szCs w:val="10"/>
                <w:color w:val="auto"/>
              </w:rPr>
              <w:t>42,727</w:t>
            </w:r>
          </w:p>
        </w:tc>
        <w:tc>
          <w:tcPr>
            <w:tcW w:w="1720" w:type="dxa"/>
            <w:vAlign w:val="bottom"/>
            <w:gridSpan w:val="2"/>
          </w:tcPr>
          <w:p>
            <w:pPr>
              <w:jc w:val="right"/>
              <w:ind w:right="20"/>
              <w:spacing w:after="0" w:line="110" w:lineRule="exact"/>
              <w:rPr>
                <w:sz w:val="20"/>
                <w:szCs w:val="20"/>
                <w:color w:val="auto"/>
              </w:rPr>
            </w:pPr>
            <w:r>
              <w:rPr>
                <w:rFonts w:ascii="Arial" w:cs="Arial" w:eastAsia="Arial" w:hAnsi="Arial"/>
                <w:sz w:val="10"/>
                <w:szCs w:val="10"/>
                <w:color w:val="auto"/>
              </w:rPr>
              <w:t>$1,832,134</w:t>
            </w:r>
          </w:p>
        </w:tc>
      </w:tr>
      <w:tr>
        <w:trPr>
          <w:trHeight w:val="109"/>
        </w:trPr>
        <w:tc>
          <w:tcPr>
            <w:tcW w:w="3080" w:type="dxa"/>
            <w:vAlign w:val="bottom"/>
            <w:gridSpan w:val="2"/>
          </w:tcPr>
          <w:p>
            <w:pPr>
              <w:spacing w:after="0" w:line="110" w:lineRule="exact"/>
              <w:rPr>
                <w:sz w:val="20"/>
                <w:szCs w:val="20"/>
                <w:color w:val="auto"/>
              </w:rPr>
            </w:pPr>
            <w:r>
              <w:rPr>
                <w:rFonts w:ascii="Arial" w:cs="Arial" w:eastAsia="Arial" w:hAnsi="Arial"/>
                <w:sz w:val="10"/>
                <w:szCs w:val="10"/>
                <w:color w:val="auto"/>
              </w:rPr>
              <w:t>Stephen J. Morriss</w:t>
            </w:r>
          </w:p>
        </w:tc>
        <w:tc>
          <w:tcPr>
            <w:tcW w:w="4260" w:type="dxa"/>
            <w:vAlign w:val="bottom"/>
          </w:tcPr>
          <w:p>
            <w:pPr>
              <w:jc w:val="right"/>
              <w:ind w:right="1131"/>
              <w:spacing w:after="0" w:line="110" w:lineRule="exact"/>
              <w:rPr>
                <w:sz w:val="20"/>
                <w:szCs w:val="20"/>
                <w:color w:val="auto"/>
              </w:rPr>
            </w:pPr>
            <w:r>
              <w:rPr>
                <w:rFonts w:ascii="Arial" w:cs="Arial" w:eastAsia="Arial" w:hAnsi="Arial"/>
                <w:sz w:val="10"/>
                <w:szCs w:val="10"/>
                <w:color w:val="auto"/>
              </w:rPr>
              <w:t>15,431</w:t>
            </w:r>
          </w:p>
        </w:tc>
        <w:tc>
          <w:tcPr>
            <w:tcW w:w="1720" w:type="dxa"/>
            <w:vAlign w:val="bottom"/>
            <w:gridSpan w:val="2"/>
          </w:tcPr>
          <w:p>
            <w:pPr>
              <w:jc w:val="right"/>
              <w:ind w:right="20"/>
              <w:spacing w:after="0" w:line="110" w:lineRule="exact"/>
              <w:rPr>
                <w:sz w:val="20"/>
                <w:szCs w:val="20"/>
                <w:color w:val="auto"/>
              </w:rPr>
            </w:pPr>
            <w:r>
              <w:rPr>
                <w:rFonts w:ascii="Arial" w:cs="Arial" w:eastAsia="Arial" w:hAnsi="Arial"/>
                <w:sz w:val="10"/>
                <w:szCs w:val="10"/>
                <w:color w:val="auto"/>
              </w:rPr>
              <w:t>$661,681</w:t>
            </w:r>
          </w:p>
        </w:tc>
      </w:tr>
      <w:tr>
        <w:trPr>
          <w:trHeight w:val="130"/>
        </w:trPr>
        <w:tc>
          <w:tcPr>
            <w:tcW w:w="3080" w:type="dxa"/>
            <w:vAlign w:val="bottom"/>
            <w:gridSpan w:val="2"/>
          </w:tcPr>
          <w:p>
            <w:pPr>
              <w:spacing w:after="0"/>
              <w:rPr>
                <w:sz w:val="20"/>
                <w:szCs w:val="20"/>
                <w:color w:val="auto"/>
              </w:rPr>
            </w:pPr>
            <w:r>
              <w:rPr>
                <w:rFonts w:ascii="Arial" w:cs="Arial" w:eastAsia="Arial" w:hAnsi="Arial"/>
                <w:sz w:val="10"/>
                <w:szCs w:val="10"/>
                <w:color w:val="auto"/>
              </w:rPr>
              <w:t>Michael S. Burke</w:t>
            </w:r>
          </w:p>
        </w:tc>
        <w:tc>
          <w:tcPr>
            <w:tcW w:w="4260" w:type="dxa"/>
            <w:vAlign w:val="bottom"/>
          </w:tcPr>
          <w:p>
            <w:pPr>
              <w:jc w:val="right"/>
              <w:ind w:right="1131"/>
              <w:spacing w:after="0"/>
              <w:rPr>
                <w:sz w:val="20"/>
                <w:szCs w:val="20"/>
                <w:color w:val="auto"/>
              </w:rPr>
            </w:pPr>
            <w:r>
              <w:rPr>
                <w:rFonts w:ascii="Arial" w:cs="Arial" w:eastAsia="Arial" w:hAnsi="Arial"/>
                <w:sz w:val="10"/>
                <w:szCs w:val="10"/>
                <w:color w:val="auto"/>
              </w:rPr>
              <w:t>591,676</w:t>
            </w:r>
          </w:p>
        </w:tc>
        <w:tc>
          <w:tcPr>
            <w:tcW w:w="1720" w:type="dxa"/>
            <w:vAlign w:val="bottom"/>
            <w:gridSpan w:val="2"/>
          </w:tcPr>
          <w:p>
            <w:pPr>
              <w:jc w:val="right"/>
              <w:ind w:right="20"/>
              <w:spacing w:after="0"/>
              <w:rPr>
                <w:sz w:val="20"/>
                <w:szCs w:val="20"/>
                <w:color w:val="auto"/>
              </w:rPr>
            </w:pPr>
            <w:r>
              <w:rPr>
                <w:rFonts w:ascii="Arial" w:cs="Arial" w:eastAsia="Arial" w:hAnsi="Arial"/>
                <w:sz w:val="10"/>
                <w:szCs w:val="10"/>
                <w:color w:val="auto"/>
              </w:rPr>
              <w:t>$21,182,936</w:t>
            </w:r>
          </w:p>
        </w:tc>
      </w:tr>
      <w:tr>
        <w:trPr>
          <w:trHeight w:val="61"/>
        </w:trPr>
        <w:tc>
          <w:tcPr>
            <w:tcW w:w="2460" w:type="dxa"/>
            <w:vAlign w:val="bottom"/>
            <w:tcBorders>
              <w:bottom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42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0" w:type="dxa"/>
            <w:vAlign w:val="bottom"/>
          </w:tcPr>
          <w:p>
            <w:pPr>
              <w:spacing w:after="0"/>
              <w:rPr>
                <w:sz w:val="5"/>
                <w:szCs w:val="5"/>
                <w:color w:val="auto"/>
              </w:rPr>
            </w:pPr>
          </w:p>
        </w:tc>
      </w:tr>
    </w:tbl>
    <w:p>
      <w:pPr>
        <w:spacing w:after="0" w:line="137" w:lineRule="exact"/>
        <w:rPr>
          <w:sz w:val="20"/>
          <w:szCs w:val="20"/>
          <w:color w:val="auto"/>
        </w:rPr>
      </w:pPr>
    </w:p>
    <w:p>
      <w:pPr>
        <w:jc w:val="both"/>
        <w:ind w:left="1480" w:hanging="357"/>
        <w:spacing w:after="0" w:line="235" w:lineRule="auto"/>
        <w:tabs>
          <w:tab w:leader="none" w:pos="1480" w:val="left"/>
        </w:tabs>
        <w:numPr>
          <w:ilvl w:val="0"/>
          <w:numId w:val="58"/>
        </w:numPr>
        <w:rPr>
          <w:rFonts w:ascii="Arial" w:cs="Arial" w:eastAsia="Arial" w:hAnsi="Arial"/>
          <w:sz w:val="10"/>
          <w:szCs w:val="10"/>
          <w:color w:val="auto"/>
        </w:rPr>
      </w:pPr>
      <w:r>
        <w:rPr>
          <w:rFonts w:ascii="Arial" w:cs="Arial" w:eastAsia="Arial" w:hAnsi="Arial"/>
          <w:sz w:val="10"/>
          <w:szCs w:val="10"/>
          <w:color w:val="auto"/>
        </w:rPr>
        <w:t>Except for Mr. Burke, the values in this column reflect amounts vested from the PEP2017 and RSU2017 awards granted on December 15, 2016. The value of the PEP2017 units is based on units earned at 84.3% of target for those with a relative TSR component (Mr. Rudd, Mr. Burke, Mr. Wotring, and Mr. Morriss) and 112.4% of target for those without the relative TSR component (Mr. Kapoor and Ms. Poloni) and the common stock price of $42.88 immediately before December 15, 2019, which fell on a weekend. The value of the RSU2017 units is also based on the common stock price of $42.88. For Mr. Burke only, the values in this column include amounts vested from the RSU2015 awards granted on November 19, 2014 in connection with his promotion to CEO, as well as from the annual equity RSU2018 and RSU2019 awards granted respectively on December 15, 2017 and December 17, 2018 that vested on March 17, 2020 as provided under Mr. Burke's severance agreement. The value of the RSU2015 units is based on the November 19, 2019 closing stock price of $42.59. The values of the RSU2018 and RSU2019 units are based on the March 17, 2020 closing stock price of $27.93.</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0" w:name="page91"/>
    <w:bookmarkEnd w:id="90"/>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76770" cy="114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Executive Nonqualified Deferred Compensation for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The following table sets forth information with respect to activity in the AECOM Executive Deferred Compensation Plan ("EDCP") during fiscal year ended September 30, 2020. The EDCP is a non-qualified plan that enables eligible employees to defer compensation in excess of amounts that may be contributed to the tax qualified RSP. Participants are allowed to defer the same elements of base salary into the EDCP as may be deferred under the RSP. The EDCP also permits deferral of sign on bonuses and annual incentive bonuses. Up to 50% of base salary and 100% of any eligible bonus may be deferred into the EDCP. The EDCP offers a fixed rate of return, which is determined each year.</w:t>
      </w:r>
    </w:p>
    <w:p>
      <w:pPr>
        <w:spacing w:after="0" w:line="115"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2460" w:type="dxa"/>
            <w:vAlign w:val="bottom"/>
          </w:tcPr>
          <w:p>
            <w:pPr>
              <w:spacing w:after="0"/>
              <w:rPr>
                <w:sz w:val="10"/>
                <w:szCs w:val="10"/>
                <w:color w:val="auto"/>
              </w:rPr>
            </w:pPr>
          </w:p>
        </w:tc>
        <w:tc>
          <w:tcPr>
            <w:tcW w:w="1220" w:type="dxa"/>
            <w:vAlign w:val="bottom"/>
          </w:tcPr>
          <w:p>
            <w:pPr>
              <w:jc w:val="right"/>
              <w:ind w:right="491"/>
              <w:spacing w:after="0"/>
              <w:rPr>
                <w:sz w:val="20"/>
                <w:szCs w:val="20"/>
                <w:color w:val="auto"/>
              </w:rPr>
            </w:pPr>
            <w:r>
              <w:rPr>
                <w:rFonts w:ascii="Arial" w:cs="Arial" w:eastAsia="Arial" w:hAnsi="Arial"/>
                <w:sz w:val="10"/>
                <w:szCs w:val="10"/>
                <w:b w:val="1"/>
                <w:bCs w:val="1"/>
                <w:color w:val="auto"/>
              </w:rPr>
              <w:t>Executive</w:t>
            </w:r>
          </w:p>
        </w:tc>
        <w:tc>
          <w:tcPr>
            <w:tcW w:w="1560" w:type="dxa"/>
            <w:vAlign w:val="bottom"/>
          </w:tcPr>
          <w:p>
            <w:pPr>
              <w:jc w:val="right"/>
              <w:ind w:right="351"/>
              <w:spacing w:after="0"/>
              <w:rPr>
                <w:sz w:val="20"/>
                <w:szCs w:val="20"/>
                <w:color w:val="auto"/>
              </w:rPr>
            </w:pPr>
            <w:r>
              <w:rPr>
                <w:rFonts w:ascii="Arial" w:cs="Arial" w:eastAsia="Arial" w:hAnsi="Arial"/>
                <w:sz w:val="10"/>
                <w:szCs w:val="10"/>
                <w:b w:val="1"/>
                <w:bCs w:val="1"/>
                <w:color w:val="auto"/>
              </w:rPr>
              <w:t>Registrant</w:t>
            </w:r>
          </w:p>
        </w:tc>
        <w:tc>
          <w:tcPr>
            <w:tcW w:w="1400" w:type="dxa"/>
            <w:vAlign w:val="bottom"/>
          </w:tcPr>
          <w:p>
            <w:pPr>
              <w:jc w:val="right"/>
              <w:ind w:right="451"/>
              <w:spacing w:after="0"/>
              <w:rPr>
                <w:sz w:val="20"/>
                <w:szCs w:val="20"/>
                <w:color w:val="auto"/>
              </w:rPr>
            </w:pPr>
            <w:r>
              <w:rPr>
                <w:rFonts w:ascii="Arial" w:cs="Arial" w:eastAsia="Arial" w:hAnsi="Arial"/>
                <w:sz w:val="10"/>
                <w:szCs w:val="10"/>
                <w:b w:val="1"/>
                <w:bCs w:val="1"/>
                <w:color w:val="auto"/>
              </w:rPr>
              <w:t>Aggregate</w:t>
            </w:r>
          </w:p>
        </w:tc>
        <w:tc>
          <w:tcPr>
            <w:tcW w:w="1500" w:type="dxa"/>
            <w:vAlign w:val="bottom"/>
          </w:tcPr>
          <w:p>
            <w:pPr>
              <w:jc w:val="right"/>
              <w:ind w:right="351"/>
              <w:spacing w:after="0"/>
              <w:rPr>
                <w:sz w:val="20"/>
                <w:szCs w:val="20"/>
                <w:color w:val="auto"/>
              </w:rPr>
            </w:pPr>
            <w:r>
              <w:rPr>
                <w:rFonts w:ascii="Arial" w:cs="Arial" w:eastAsia="Arial" w:hAnsi="Arial"/>
                <w:sz w:val="10"/>
                <w:szCs w:val="10"/>
                <w:b w:val="1"/>
                <w:bCs w:val="1"/>
                <w:color w:val="auto"/>
              </w:rPr>
              <w:t>Aggregate</w:t>
            </w:r>
          </w:p>
        </w:tc>
        <w:tc>
          <w:tcPr>
            <w:tcW w:w="92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Aggregate</w:t>
            </w:r>
          </w:p>
        </w:tc>
      </w:tr>
      <w:tr>
        <w:trPr>
          <w:trHeight w:val="109"/>
        </w:trPr>
        <w:tc>
          <w:tcPr>
            <w:tcW w:w="2460" w:type="dxa"/>
            <w:vAlign w:val="bottom"/>
          </w:tcPr>
          <w:p>
            <w:pPr>
              <w:spacing w:after="0"/>
              <w:rPr>
                <w:sz w:val="9"/>
                <w:szCs w:val="9"/>
                <w:color w:val="auto"/>
              </w:rPr>
            </w:pPr>
          </w:p>
        </w:tc>
        <w:tc>
          <w:tcPr>
            <w:tcW w:w="1220" w:type="dxa"/>
            <w:vAlign w:val="bottom"/>
          </w:tcPr>
          <w:p>
            <w:pPr>
              <w:jc w:val="right"/>
              <w:ind w:right="491"/>
              <w:spacing w:after="0" w:line="110" w:lineRule="exact"/>
              <w:rPr>
                <w:sz w:val="20"/>
                <w:szCs w:val="20"/>
                <w:color w:val="auto"/>
              </w:rPr>
            </w:pPr>
            <w:r>
              <w:rPr>
                <w:rFonts w:ascii="Arial" w:cs="Arial" w:eastAsia="Arial" w:hAnsi="Arial"/>
                <w:sz w:val="10"/>
                <w:szCs w:val="10"/>
                <w:b w:val="1"/>
                <w:bCs w:val="1"/>
                <w:color w:val="auto"/>
              </w:rPr>
              <w:t>Contributions</w:t>
            </w:r>
          </w:p>
        </w:tc>
        <w:tc>
          <w:tcPr>
            <w:tcW w:w="1560" w:type="dxa"/>
            <w:vAlign w:val="bottom"/>
          </w:tcPr>
          <w:p>
            <w:pPr>
              <w:jc w:val="right"/>
              <w:ind w:right="351"/>
              <w:spacing w:after="0" w:line="110" w:lineRule="exact"/>
              <w:rPr>
                <w:sz w:val="20"/>
                <w:szCs w:val="20"/>
                <w:color w:val="auto"/>
              </w:rPr>
            </w:pPr>
            <w:r>
              <w:rPr>
                <w:rFonts w:ascii="Arial" w:cs="Arial" w:eastAsia="Arial" w:hAnsi="Arial"/>
                <w:sz w:val="10"/>
                <w:szCs w:val="10"/>
                <w:b w:val="1"/>
                <w:bCs w:val="1"/>
                <w:color w:val="auto"/>
              </w:rPr>
              <w:t>Contributions</w:t>
            </w:r>
          </w:p>
        </w:tc>
        <w:tc>
          <w:tcPr>
            <w:tcW w:w="1400" w:type="dxa"/>
            <w:vAlign w:val="bottom"/>
          </w:tcPr>
          <w:p>
            <w:pPr>
              <w:jc w:val="right"/>
              <w:ind w:right="451"/>
              <w:spacing w:after="0" w:line="110" w:lineRule="exact"/>
              <w:rPr>
                <w:sz w:val="20"/>
                <w:szCs w:val="20"/>
                <w:color w:val="auto"/>
              </w:rPr>
            </w:pPr>
            <w:r>
              <w:rPr>
                <w:rFonts w:ascii="Arial" w:cs="Arial" w:eastAsia="Arial" w:hAnsi="Arial"/>
                <w:sz w:val="10"/>
                <w:szCs w:val="10"/>
                <w:b w:val="1"/>
                <w:bCs w:val="1"/>
                <w:color w:val="auto"/>
              </w:rPr>
              <w:t>Earnings</w:t>
            </w:r>
          </w:p>
        </w:tc>
        <w:tc>
          <w:tcPr>
            <w:tcW w:w="1500" w:type="dxa"/>
            <w:vAlign w:val="bottom"/>
          </w:tcPr>
          <w:p>
            <w:pPr>
              <w:jc w:val="right"/>
              <w:ind w:right="351"/>
              <w:spacing w:after="0" w:line="110" w:lineRule="exact"/>
              <w:rPr>
                <w:sz w:val="20"/>
                <w:szCs w:val="20"/>
                <w:color w:val="auto"/>
              </w:rPr>
            </w:pPr>
            <w:r>
              <w:rPr>
                <w:rFonts w:ascii="Arial" w:cs="Arial" w:eastAsia="Arial" w:hAnsi="Arial"/>
                <w:sz w:val="10"/>
                <w:szCs w:val="10"/>
                <w:b w:val="1"/>
                <w:bCs w:val="1"/>
                <w:color w:val="auto"/>
              </w:rPr>
              <w:t>Withdrawals/</w:t>
            </w:r>
          </w:p>
        </w:tc>
        <w:tc>
          <w:tcPr>
            <w:tcW w:w="920" w:type="dxa"/>
            <w:vAlign w:val="bottom"/>
            <w:gridSpan w:val="2"/>
          </w:tcPr>
          <w:p>
            <w:pPr>
              <w:jc w:val="right"/>
              <w:ind w:right="20"/>
              <w:spacing w:after="0" w:line="110" w:lineRule="exact"/>
              <w:rPr>
                <w:sz w:val="20"/>
                <w:szCs w:val="20"/>
                <w:color w:val="auto"/>
              </w:rPr>
            </w:pPr>
            <w:r>
              <w:rPr>
                <w:rFonts w:ascii="Arial" w:cs="Arial" w:eastAsia="Arial" w:hAnsi="Arial"/>
                <w:sz w:val="10"/>
                <w:szCs w:val="10"/>
                <w:b w:val="1"/>
                <w:bCs w:val="1"/>
                <w:color w:val="auto"/>
              </w:rPr>
              <w:t>Balance</w:t>
            </w:r>
          </w:p>
        </w:tc>
      </w:tr>
      <w:tr>
        <w:trPr>
          <w:trHeight w:val="109"/>
        </w:trPr>
        <w:tc>
          <w:tcPr>
            <w:tcW w:w="2460" w:type="dxa"/>
            <w:vAlign w:val="bottom"/>
          </w:tcPr>
          <w:p>
            <w:pPr>
              <w:spacing w:after="0"/>
              <w:rPr>
                <w:sz w:val="9"/>
                <w:szCs w:val="9"/>
                <w:color w:val="auto"/>
              </w:rPr>
            </w:pPr>
          </w:p>
        </w:tc>
        <w:tc>
          <w:tcPr>
            <w:tcW w:w="1220" w:type="dxa"/>
            <w:vAlign w:val="bottom"/>
          </w:tcPr>
          <w:p>
            <w:pPr>
              <w:jc w:val="right"/>
              <w:ind w:right="491"/>
              <w:spacing w:after="0" w:line="110" w:lineRule="exact"/>
              <w:rPr>
                <w:sz w:val="20"/>
                <w:szCs w:val="20"/>
                <w:color w:val="auto"/>
              </w:rPr>
            </w:pPr>
            <w:r>
              <w:rPr>
                <w:rFonts w:ascii="Arial" w:cs="Arial" w:eastAsia="Arial" w:hAnsi="Arial"/>
                <w:sz w:val="10"/>
                <w:szCs w:val="10"/>
                <w:b w:val="1"/>
                <w:bCs w:val="1"/>
                <w:color w:val="auto"/>
              </w:rPr>
              <w:t>in Last FY</w:t>
            </w:r>
          </w:p>
        </w:tc>
        <w:tc>
          <w:tcPr>
            <w:tcW w:w="1560" w:type="dxa"/>
            <w:vAlign w:val="bottom"/>
          </w:tcPr>
          <w:p>
            <w:pPr>
              <w:jc w:val="right"/>
              <w:ind w:right="351"/>
              <w:spacing w:after="0" w:line="110" w:lineRule="exact"/>
              <w:rPr>
                <w:sz w:val="20"/>
                <w:szCs w:val="20"/>
                <w:color w:val="auto"/>
              </w:rPr>
            </w:pPr>
            <w:r>
              <w:rPr>
                <w:rFonts w:ascii="Arial" w:cs="Arial" w:eastAsia="Arial" w:hAnsi="Arial"/>
                <w:sz w:val="10"/>
                <w:szCs w:val="10"/>
                <w:b w:val="1"/>
                <w:bCs w:val="1"/>
                <w:color w:val="auto"/>
              </w:rPr>
              <w:t>in Last FY</w:t>
            </w:r>
          </w:p>
        </w:tc>
        <w:tc>
          <w:tcPr>
            <w:tcW w:w="1400" w:type="dxa"/>
            <w:vAlign w:val="bottom"/>
          </w:tcPr>
          <w:p>
            <w:pPr>
              <w:jc w:val="right"/>
              <w:ind w:right="451"/>
              <w:spacing w:after="0" w:line="110" w:lineRule="exact"/>
              <w:rPr>
                <w:sz w:val="20"/>
                <w:szCs w:val="20"/>
                <w:color w:val="auto"/>
              </w:rPr>
            </w:pPr>
            <w:r>
              <w:rPr>
                <w:rFonts w:ascii="Arial" w:cs="Arial" w:eastAsia="Arial" w:hAnsi="Arial"/>
                <w:sz w:val="10"/>
                <w:szCs w:val="10"/>
                <w:b w:val="1"/>
                <w:bCs w:val="1"/>
                <w:color w:val="auto"/>
              </w:rPr>
              <w:t>in Last FY</w:t>
            </w:r>
          </w:p>
        </w:tc>
        <w:tc>
          <w:tcPr>
            <w:tcW w:w="1500" w:type="dxa"/>
            <w:vAlign w:val="bottom"/>
          </w:tcPr>
          <w:p>
            <w:pPr>
              <w:jc w:val="right"/>
              <w:ind w:right="351"/>
              <w:spacing w:after="0" w:line="110" w:lineRule="exact"/>
              <w:rPr>
                <w:sz w:val="20"/>
                <w:szCs w:val="20"/>
                <w:color w:val="auto"/>
              </w:rPr>
            </w:pPr>
            <w:r>
              <w:rPr>
                <w:rFonts w:ascii="Arial" w:cs="Arial" w:eastAsia="Arial" w:hAnsi="Arial"/>
                <w:sz w:val="10"/>
                <w:szCs w:val="10"/>
                <w:b w:val="1"/>
                <w:bCs w:val="1"/>
                <w:color w:val="auto"/>
              </w:rPr>
              <w:t>Distributions</w:t>
            </w:r>
          </w:p>
        </w:tc>
        <w:tc>
          <w:tcPr>
            <w:tcW w:w="920" w:type="dxa"/>
            <w:vAlign w:val="bottom"/>
            <w:gridSpan w:val="2"/>
          </w:tcPr>
          <w:p>
            <w:pPr>
              <w:jc w:val="right"/>
              <w:ind w:right="20"/>
              <w:spacing w:after="0" w:line="110" w:lineRule="exact"/>
              <w:rPr>
                <w:sz w:val="20"/>
                <w:szCs w:val="20"/>
                <w:color w:val="auto"/>
              </w:rPr>
            </w:pPr>
            <w:r>
              <w:rPr>
                <w:rFonts w:ascii="Arial" w:cs="Arial" w:eastAsia="Arial" w:hAnsi="Arial"/>
                <w:sz w:val="10"/>
                <w:szCs w:val="10"/>
                <w:b w:val="1"/>
                <w:bCs w:val="1"/>
                <w:color w:val="auto"/>
              </w:rPr>
              <w:t>at Last FY</w:t>
            </w:r>
          </w:p>
        </w:tc>
      </w:tr>
      <w:tr>
        <w:trPr>
          <w:trHeight w:val="118"/>
        </w:trPr>
        <w:tc>
          <w:tcPr>
            <w:tcW w:w="2460" w:type="dxa"/>
            <w:vAlign w:val="bottom"/>
            <w:tcBorders>
              <w:bottom w:val="single" w:sz="8" w:color="00B2E5"/>
            </w:tcBorders>
          </w:tcPr>
          <w:p>
            <w:pPr>
              <w:spacing w:after="0"/>
              <w:rPr>
                <w:sz w:val="20"/>
                <w:szCs w:val="20"/>
                <w:color w:val="auto"/>
              </w:rPr>
            </w:pPr>
            <w:r>
              <w:rPr>
                <w:rFonts w:ascii="Arial" w:cs="Arial" w:eastAsia="Arial" w:hAnsi="Arial"/>
                <w:sz w:val="10"/>
                <w:szCs w:val="10"/>
                <w:b w:val="1"/>
                <w:bCs w:val="1"/>
                <w:color w:val="auto"/>
              </w:rPr>
              <w:t>Name</w:t>
            </w:r>
          </w:p>
        </w:tc>
        <w:tc>
          <w:tcPr>
            <w:tcW w:w="1220" w:type="dxa"/>
            <w:vAlign w:val="bottom"/>
            <w:tcBorders>
              <w:bottom w:val="single" w:sz="8" w:color="00B2E5"/>
            </w:tcBorders>
          </w:tcPr>
          <w:p>
            <w:pPr>
              <w:jc w:val="right"/>
              <w:ind w:right="491"/>
              <w:spacing w:after="0"/>
              <w:rPr>
                <w:sz w:val="20"/>
                <w:szCs w:val="20"/>
                <w:color w:val="auto"/>
              </w:rPr>
            </w:pPr>
            <w:r>
              <w:rPr>
                <w:rFonts w:ascii="Arial" w:cs="Arial" w:eastAsia="Arial" w:hAnsi="Arial"/>
                <w:sz w:val="10"/>
                <w:szCs w:val="10"/>
                <w:b w:val="1"/>
                <w:bCs w:val="1"/>
                <w:color w:val="auto"/>
              </w:rPr>
              <w:t>($)</w:t>
            </w:r>
          </w:p>
        </w:tc>
        <w:tc>
          <w:tcPr>
            <w:tcW w:w="1560" w:type="dxa"/>
            <w:vAlign w:val="bottom"/>
            <w:tcBorders>
              <w:bottom w:val="single" w:sz="8" w:color="00B2E5"/>
            </w:tcBorders>
          </w:tcPr>
          <w:p>
            <w:pPr>
              <w:jc w:val="right"/>
              <w:ind w:right="351"/>
              <w:spacing w:after="0"/>
              <w:rPr>
                <w:sz w:val="20"/>
                <w:szCs w:val="20"/>
                <w:color w:val="auto"/>
              </w:rPr>
            </w:pPr>
            <w:r>
              <w:rPr>
                <w:rFonts w:ascii="Arial" w:cs="Arial" w:eastAsia="Arial" w:hAnsi="Arial"/>
                <w:sz w:val="10"/>
                <w:szCs w:val="10"/>
                <w:b w:val="1"/>
                <w:bCs w:val="1"/>
                <w:color w:val="auto"/>
              </w:rPr>
              <w:t>($)</w:t>
            </w:r>
          </w:p>
        </w:tc>
        <w:tc>
          <w:tcPr>
            <w:tcW w:w="1400" w:type="dxa"/>
            <w:vAlign w:val="bottom"/>
            <w:tcBorders>
              <w:bottom w:val="single" w:sz="8" w:color="00B2E5"/>
            </w:tcBorders>
          </w:tcPr>
          <w:p>
            <w:pPr>
              <w:jc w:val="right"/>
              <w:ind w:right="451"/>
              <w:spacing w:after="0"/>
              <w:rPr>
                <w:sz w:val="20"/>
                <w:szCs w:val="20"/>
                <w:color w:val="auto"/>
              </w:rPr>
            </w:pPr>
            <w:r>
              <w:rPr>
                <w:rFonts w:ascii="Arial" w:cs="Arial" w:eastAsia="Arial" w:hAnsi="Arial"/>
                <w:sz w:val="10"/>
                <w:szCs w:val="10"/>
                <w:b w:val="1"/>
                <w:bCs w:val="1"/>
                <w:color w:val="auto"/>
              </w:rPr>
              <w:t>($)(1)</w:t>
            </w:r>
          </w:p>
        </w:tc>
        <w:tc>
          <w:tcPr>
            <w:tcW w:w="1500" w:type="dxa"/>
            <w:vAlign w:val="bottom"/>
            <w:tcBorders>
              <w:bottom w:val="single" w:sz="8" w:color="00B2E5"/>
            </w:tcBorders>
          </w:tcPr>
          <w:p>
            <w:pPr>
              <w:jc w:val="right"/>
              <w:ind w:right="351"/>
              <w:spacing w:after="0"/>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00B2E5"/>
            </w:tcBorders>
          </w:tcPr>
          <w:p>
            <w:pPr>
              <w:jc w:val="right"/>
              <w:spacing w:after="0"/>
              <w:rPr>
                <w:sz w:val="20"/>
                <w:szCs w:val="20"/>
                <w:color w:val="auto"/>
              </w:rPr>
            </w:pPr>
            <w:r>
              <w:rPr>
                <w:rFonts w:ascii="Arial" w:cs="Arial" w:eastAsia="Arial" w:hAnsi="Arial"/>
                <w:sz w:val="10"/>
                <w:szCs w:val="10"/>
                <w:b w:val="1"/>
                <w:bCs w:val="1"/>
                <w:color w:val="auto"/>
              </w:rPr>
              <w:t>($)(2)</w:t>
            </w:r>
          </w:p>
        </w:tc>
        <w:tc>
          <w:tcPr>
            <w:tcW w:w="20" w:type="dxa"/>
            <w:vAlign w:val="bottom"/>
          </w:tcPr>
          <w:p>
            <w:pPr>
              <w:spacing w:after="0"/>
              <w:rPr>
                <w:sz w:val="10"/>
                <w:szCs w:val="10"/>
                <w:color w:val="auto"/>
              </w:rPr>
            </w:pPr>
          </w:p>
        </w:tc>
      </w:tr>
      <w:tr>
        <w:trPr>
          <w:trHeight w:val="128"/>
        </w:trPr>
        <w:tc>
          <w:tcPr>
            <w:tcW w:w="2460" w:type="dxa"/>
            <w:vAlign w:val="bottom"/>
          </w:tcPr>
          <w:p>
            <w:pPr>
              <w:spacing w:after="0"/>
              <w:rPr>
                <w:sz w:val="20"/>
                <w:szCs w:val="20"/>
                <w:color w:val="auto"/>
              </w:rPr>
            </w:pPr>
            <w:r>
              <w:rPr>
                <w:rFonts w:ascii="Arial" w:cs="Arial" w:eastAsia="Arial" w:hAnsi="Arial"/>
                <w:sz w:val="10"/>
                <w:szCs w:val="10"/>
                <w:color w:val="auto"/>
              </w:rPr>
              <w:t>W. Troy Rudd</w:t>
            </w:r>
          </w:p>
        </w:tc>
        <w:tc>
          <w:tcPr>
            <w:tcW w:w="1220" w:type="dxa"/>
            <w:vAlign w:val="bottom"/>
          </w:tcPr>
          <w:p>
            <w:pPr>
              <w:jc w:val="right"/>
              <w:ind w:right="491"/>
              <w:spacing w:after="0"/>
              <w:rPr>
                <w:sz w:val="20"/>
                <w:szCs w:val="20"/>
                <w:color w:val="auto"/>
              </w:rPr>
            </w:pPr>
            <w:r>
              <w:rPr>
                <w:rFonts w:ascii="Arial" w:cs="Arial" w:eastAsia="Arial" w:hAnsi="Arial"/>
                <w:sz w:val="10"/>
                <w:szCs w:val="10"/>
                <w:color w:val="auto"/>
              </w:rPr>
              <w:t>$0</w:t>
            </w:r>
          </w:p>
        </w:tc>
        <w:tc>
          <w:tcPr>
            <w:tcW w:w="1560" w:type="dxa"/>
            <w:vAlign w:val="bottom"/>
          </w:tcPr>
          <w:p>
            <w:pPr>
              <w:jc w:val="right"/>
              <w:ind w:right="351"/>
              <w:spacing w:after="0"/>
              <w:rPr>
                <w:sz w:val="20"/>
                <w:szCs w:val="20"/>
                <w:color w:val="auto"/>
              </w:rPr>
            </w:pPr>
            <w:r>
              <w:rPr>
                <w:rFonts w:ascii="Arial" w:cs="Arial" w:eastAsia="Arial" w:hAnsi="Arial"/>
                <w:sz w:val="10"/>
                <w:szCs w:val="10"/>
                <w:color w:val="auto"/>
              </w:rPr>
              <w:t>$0</w:t>
            </w:r>
          </w:p>
        </w:tc>
        <w:tc>
          <w:tcPr>
            <w:tcW w:w="1400" w:type="dxa"/>
            <w:vAlign w:val="bottom"/>
          </w:tcPr>
          <w:p>
            <w:pPr>
              <w:jc w:val="right"/>
              <w:ind w:right="451"/>
              <w:spacing w:after="0"/>
              <w:rPr>
                <w:sz w:val="20"/>
                <w:szCs w:val="20"/>
                <w:color w:val="auto"/>
              </w:rPr>
            </w:pPr>
            <w:r>
              <w:rPr>
                <w:rFonts w:ascii="Arial" w:cs="Arial" w:eastAsia="Arial" w:hAnsi="Arial"/>
                <w:sz w:val="10"/>
                <w:szCs w:val="10"/>
                <w:color w:val="auto"/>
              </w:rPr>
              <w:t>$16,103</w:t>
            </w:r>
          </w:p>
        </w:tc>
        <w:tc>
          <w:tcPr>
            <w:tcW w:w="1500" w:type="dxa"/>
            <w:vAlign w:val="bottom"/>
          </w:tcPr>
          <w:p>
            <w:pPr>
              <w:jc w:val="right"/>
              <w:ind w:right="351"/>
              <w:spacing w:after="0"/>
              <w:rPr>
                <w:sz w:val="20"/>
                <w:szCs w:val="20"/>
                <w:color w:val="auto"/>
              </w:rPr>
            </w:pPr>
            <w:r>
              <w:rPr>
                <w:rFonts w:ascii="Arial" w:cs="Arial" w:eastAsia="Arial" w:hAnsi="Arial"/>
                <w:sz w:val="10"/>
                <w:szCs w:val="10"/>
                <w:color w:val="auto"/>
              </w:rPr>
              <w:t>$0</w:t>
            </w:r>
          </w:p>
        </w:tc>
        <w:tc>
          <w:tcPr>
            <w:tcW w:w="900" w:type="dxa"/>
            <w:vAlign w:val="bottom"/>
          </w:tcPr>
          <w:p>
            <w:pPr>
              <w:jc w:val="right"/>
              <w:spacing w:after="0"/>
              <w:rPr>
                <w:sz w:val="20"/>
                <w:szCs w:val="20"/>
                <w:color w:val="auto"/>
              </w:rPr>
            </w:pPr>
            <w:r>
              <w:rPr>
                <w:rFonts w:ascii="Arial" w:cs="Arial" w:eastAsia="Arial" w:hAnsi="Arial"/>
                <w:sz w:val="10"/>
                <w:szCs w:val="10"/>
                <w:color w:val="auto"/>
              </w:rPr>
              <w:t>$326,867</w:t>
            </w:r>
          </w:p>
        </w:tc>
        <w:tc>
          <w:tcPr>
            <w:tcW w:w="20" w:type="dxa"/>
            <w:vAlign w:val="bottom"/>
          </w:tcPr>
          <w:p>
            <w:pPr>
              <w:spacing w:after="0"/>
              <w:rPr>
                <w:sz w:val="11"/>
                <w:szCs w:val="11"/>
                <w:color w:val="auto"/>
              </w:rPr>
            </w:pPr>
          </w:p>
        </w:tc>
      </w:tr>
      <w:tr>
        <w:trPr>
          <w:trHeight w:val="52"/>
        </w:trPr>
        <w:tc>
          <w:tcPr>
            <w:tcW w:w="246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bl>
    <w:p>
      <w:pPr>
        <w:spacing w:after="0" w:line="137" w:lineRule="exact"/>
        <w:rPr>
          <w:sz w:val="20"/>
          <w:szCs w:val="20"/>
          <w:color w:val="auto"/>
        </w:rPr>
      </w:pPr>
    </w:p>
    <w:p>
      <w:pPr>
        <w:ind w:left="1480" w:hanging="357"/>
        <w:spacing w:after="0" w:line="259" w:lineRule="auto"/>
        <w:tabs>
          <w:tab w:leader="none" w:pos="14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Earnings were calculated using the rate of 5.00% and, to the extent exceeding 120% of the Applicable Federal Rate, were included in the Nonqualified Deferred Compensation Earnings column of the "SUMMARY COMPENSATION TABLE".</w:t>
      </w:r>
    </w:p>
    <w:p>
      <w:pPr>
        <w:spacing w:after="0" w:line="79" w:lineRule="exact"/>
        <w:rPr>
          <w:rFonts w:ascii="Arial" w:cs="Arial" w:eastAsia="Arial" w:hAnsi="Arial"/>
          <w:sz w:val="10"/>
          <w:szCs w:val="10"/>
          <w:color w:val="auto"/>
        </w:rPr>
      </w:pPr>
    </w:p>
    <w:p>
      <w:pPr>
        <w:ind w:left="1480" w:hanging="357"/>
        <w:spacing w:after="0" w:line="259" w:lineRule="auto"/>
        <w:tabs>
          <w:tab w:leader="none" w:pos="14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$11,603 of this amount was reported as an executive contribution or earnings above the Applicable Federal Rate in the "SUMMARY COMPENSATION TABLE" in prior year proxy statements. The information in this footnote is provided to clarify the extent to which amounts payable as deferred compensation represent compensation reported in our prior proxy statements, rather than new deferrals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76770" cy="114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Payments and Benefits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Payments and benefits that would be provided to each NEO in addition to those received by all employees (such as payout of 401(k) balances and paid time off) as a result of certain termination events are set forth in the table below. The amounts shown assume a qualifying termination of employment effective as of the last day of our fiscal year ended September 30, 2020.</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Senior Leadership Severance Plan</w:t>
      </w:r>
    </w:p>
    <w:p>
      <w:pPr>
        <w:spacing w:after="0" w:line="150"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In June 2020, the Compensation Committee approved the AECOM Senior Leadership Severance Plan (the "Severance Plan"). Each named executive officer currently employed by the Company is an eligible employee under the Severance Plan. The Severance Plan provides that, upon the termination of employment of an eligible employee by the Company other than for Cause (as defined in the Severance Plan) or due to death or disability (other than a termination in connection with a change in control of the Company), in addition to the payment of accrued obligations, the eligible employee will receive the following compensation and benefits: (i) a lump sum payment equal to one (1) times the eligible employee's base salary (except with respect to W. Troy Rudd, whose multiple is two (2) times base salary); (ii) a prorated target bonus for the fiscal year in which the termination occurred based on the number of days of service in the fiscal year; (iii) additional service vesting credit for purposes of outstanding equity awards based on the eligible employee's years of service with the Company (12 months of credit for five to ten years of service and 24 months of credit for more than ten years of service); and (iv) a lump sum payment in respect of the monthly employer portion of healthcare premiums multiplied by 12 (except with respect to Mr. Rudd, whose premiums are multiplied by 24). The receipt of the foregoing severance payments and benefits will be subject to the eligible employee's execution of a separation and release agreement that contains customary restrictive covenants, including obligations with respect to confidentiality and restrictions on soliciting the Company's employees and customers.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Change in Control Severance Policy for Key Executives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Pursuant to the AECOM Technology Corporation Change in Control Severance Policy for Key Executives (the "CIC Plan"), the NEOs in the table below will receive the following benefits in connection with a Change in Control (as defined in the CIC Plan):</w:t>
      </w:r>
    </w:p>
    <w:p>
      <w:pPr>
        <w:spacing w:after="0" w:line="104" w:lineRule="exact"/>
        <w:rPr>
          <w:sz w:val="20"/>
          <w:szCs w:val="20"/>
          <w:color w:val="auto"/>
        </w:rPr>
      </w:pPr>
    </w:p>
    <w:p>
      <w:pPr>
        <w:jc w:val="both"/>
        <w:ind w:left="720" w:right="20" w:hanging="362"/>
        <w:spacing w:after="0" w:line="256" w:lineRule="auto"/>
        <w:tabs>
          <w:tab w:leader="none" w:pos="7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Upon a Change in Control only ("single trigger"): (i) full-vesting acceleration of equity awards only if the surviving entity does not continue or substitute such awards post-closing and (ii) deemed satisfaction of PEP Award targets based on actual performance through the change in control date and conversion of the earned PEPs to unvested restricted stock units that will continue to vest based on continued employment through the time-based vesting period for the PEPs (generally through December 15 following the end of the PEP performance cycle).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1" w:name="page92"/>
    <w:bookmarkEnd w:id="91"/>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jc w:val="both"/>
        <w:ind w:left="720" w:hanging="362"/>
        <w:spacing w:after="0" w:line="243" w:lineRule="auto"/>
        <w:tabs>
          <w:tab w:leader="none" w:pos="7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Upon a termination without Cause (as defined in the CIC Plan) or with Good Reason (as defined in the CIC Plan) within the period that begins 90 days prior to a Change in Control and ends 24 months following a Change in Control ("double trigger"): (i) full vesting acceleration of all unvested PEP (but based on actual performance through the change in control date), stock option, restricted stock units and other equity awards; (ii) a lump sum cash severance payment equal to a multiple (two times for our CEO and 1.5 times for other NEOs) of the NEO's base salary and average bonus earned over the three years prior to the year of termination (but including only those years in which the NEO was employed as a Key Executive of the Company); (iii) a pro-rata annual bonus payment, under the annual incentive compensation plan applicable to the executive, for the year in which the double trigger occurs, based upon the number of full months between the beginning of the applicable annual performance period and the executive's last date of employment, based upon the target level of performance and payable when bonuses are otherwise payable to the Company's executives; and (iv) continued health coverage for a number of years equal to the severance multiple (i.e., two years for our CEO and 1.5 years for other NEOs).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Michael S. Burke Letter Agreements</w:t>
      </w:r>
    </w:p>
    <w:p>
      <w:pPr>
        <w:spacing w:after="0" w:line="147"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Pursuant to a letter agreement dated March 6, 2014 between the Company and Mr. Burke, in addition to Mr. Burke's participation in the Company's Change in Control Severance Policy for Key Executives, in the event that his employment had been terminated (i) by the Company for any reason other than "Cause" (as defined in the policy) or his death or disability or (ii) by Mr. Burke for "Good Reason" (as defined in the policy), and such termination did not occur within the "protection period" (as defined in the policy) then, the Company would have paid to Mr. Burke his accrued compensation through the termination date, a pro rata portion of the annual cash incentive award he would have received for the fiscal year in which employment terminated (based on the Company's actual performance over the entire year and Mr. Burke's number of full months of actual service during such fiscal year), a lump sum cash payment equal to two times the sum of his base salary plus the average annual cash incentive award he earned for the three fiscal years preceding the fiscal year in which such termination occurred, twenty four months of COBRA coverage premiums, and additional vesting of then outstanding equity awards as follows:</w:t>
      </w:r>
    </w:p>
    <w:p>
      <w:pPr>
        <w:spacing w:after="0" w:line="130" w:lineRule="exact"/>
        <w:rPr>
          <w:sz w:val="20"/>
          <w:szCs w:val="20"/>
          <w:color w:val="auto"/>
        </w:rPr>
      </w:pPr>
    </w:p>
    <w:p>
      <w:pPr>
        <w:ind w:left="720" w:right="20" w:hanging="362"/>
        <w:spacing w:after="0" w:line="274" w:lineRule="auto"/>
        <w:tabs>
          <w:tab w:leader="none" w:pos="7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any then-outstanding PEP awards would have remained outstanding and continued to be eligible to vest in accordance with their existing terms (as if he had remained employed and based on actual performance through the end of the applicable performance period);</w:t>
      </w:r>
    </w:p>
    <w:p>
      <w:pPr>
        <w:spacing w:after="0" w:line="95" w:lineRule="exact"/>
        <w:rPr>
          <w:rFonts w:ascii="Arial" w:cs="Arial" w:eastAsia="Arial" w:hAnsi="Arial"/>
          <w:sz w:val="12"/>
          <w:szCs w:val="12"/>
          <w:color w:val="auto"/>
        </w:rPr>
      </w:pPr>
    </w:p>
    <w:p>
      <w:pPr>
        <w:ind w:left="720" w:hanging="362"/>
        <w:spacing w:after="0"/>
        <w:tabs>
          <w:tab w:leader="none" w:pos="7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any then-outstanding unvested time based restricted stock units would have vested in full upon termination; and</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all other outstanding equity based compensation awards would have been treated as set forth in the applicable award agreements.</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addition, had Mr. Burke retired, notwithstanding anything to the contrary in an award agreement, Mr. Burke would have been entitled to full vesting of the then unvested portion of any outstanding award, as if he had remained employed through the end of each applicable vesting period (and based on actual performance). Any and all severance payments or benefits provided under the letter agreement would have been contingent upon the execution of a general release.</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On May 8, 2018, the Company entered into an agreement to allow Mr. Burke and his eligible dependents to receive certain post-employment health insurance benefits (the "Amended Letter Agreement"). The Amended Letter Agreement, which updated the terms and conditions of Mr. Burke's post-employment insurance benefits as set forth in the 2014 letter agreement, provided that in the event Mr. Burke was terminated by AECOM for any reason other than Cause, or by Mr. Burke for Good Reason, Retirement or Total and Permanent Disablement (each a "Status Change"), then AECOM would extend health plan coverage and pay insurance premiums for a period of 24 months to Mr. Burke and his eligible dependents (the "Eligible Dependents"). Health plan coverage would have been provided at the expense of Mr. Burke and/or the Eligible Dependents commencing twenty five months after a Status Change. AECOM's obligation to provide health plan coverage to Mr. Burke and any of the Eligible Dependents would have ceased when Mr. Burke or any of the Eligible Dependents became eligible for comparable health insurance coverage at another employer or any of the Eligible Dependents becomes ineligible for coverage under the Company's health insurance plans.</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On November 22, 2019, in connection with the previously announced CEO succession plan, the Company entered into a letter agreement that clarified that at the time a new CEO was appointed (or, if earlier, the day before the 2020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2" w:name="page93"/>
    <w:bookmarkEnd w:id="92"/>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Annual Meeting), Mr. Burke would cease serving as CEO and resign from all other positions at the Company. Mr. Burke ceased serving as CEO on August 14, 2020. At such time, in accordance with such letter agreement, Mr. Burke was entitled to the separation payments and benefits payable upon on a termination other than for Cause, consistent with the letter agreements entered into between the Company and Mr. Burke dated March 6, 2014 and May 8, 2018, although the pro rata bonus for the 2020 fiscal year was based on target bonus opportunity. The form of separation and release agreement that Mr. Burke was required to sign as a condition to receipt of the severance payments and benefits contains certain restrictive covenants, including a prohibition on Mr. Burke soliciting the Company's employees for one year following his date of separation.</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Separation Agreement — Randall S. Wotring</w:t>
      </w:r>
    </w:p>
    <w:p>
      <w:pPr>
        <w:spacing w:after="0" w:line="147"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On October 2, 2020, the Company and Randall A. Wotring mutually agreed that Mr. Wotring would resign from his position as Chief Operating Officer of the Company immediately, after which time he would serve in a non-executive officer capacity as Senior Advisor to the Chief Executive Officer until his retirement from the Company on December 31, 2020. Mr. Wotring and the Company entered into a separation and release agreement (the "Wotring Separation Agreement"), pursuant to which Mr. Wotring became entitled to receive the following compensation and benefits in accordance with the Company's Senior Leadership Severance Plan: (i) a lump sum payment equal to his annual base salary; (ii) a prorated annual incentive award payment for fiscal year 2021; (iii) a lump sum payment in respect of the monthly employer portion of healthcare premiums multiplied by 12; and (iv) 12 months of additional service vesting credit for purposes of his outstanding equity awards. The Wotring Separation Agreement also includes a general release of claims in favor of the Company as well as customary restrictive covenants, including obligations with respect to confidentiality and restrictions on soliciting the Company's employees and customers.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Separation Agreement — Stephen J. Morriss</w:t>
      </w:r>
    </w:p>
    <w:p>
      <w:pPr>
        <w:spacing w:after="0" w:line="147"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On October 2, 2020, the Company and Stephen J. Morriss mutually agreed that Mr. Morriss would resign from his position as Group President, Design and Consulting Services—Americas of the Company effective immediately, after which time Mr. Morriss may continue to provide transition-related services to the Company under a short-term consulting arrangement on a month-to-month retainer at a pro rata monthly rate calculated based on his current base salary. Mr. Morriss and the Company entered into a separation and release agreement (the "Morriss Separation Agreement"), pursuant to which Mr. Morriss became entitled to receive the following compensation and benefits in accordance with the Company's Senior Leadership Severance Plan: (i) a lump sum payment equal to his annual base salary; (ii) an annual incentive award payment for fiscal year 2020; (iii) a lump sum payment in respect of the monthly employer portion of healthcare premiums multiplied by 12; and (iv) 12 months of additional service vesting credit for purposes of his outstanding equity awards. In addition, Mr. Morriss would receive $47,650 in relocation benefits. The Morriss Separation Agreement also includes a general release of claims in favor of the Company as well as customary restrictive covenants, including obligations with respect to confidentiality and restrictions on soliciting the Company's employees and customers.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Long-Term Incentive Equity Award Agreements</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Pursuant to the terms of each of the restricted stock unit and PEP awards ("Long-Term Incentive Equity" in the tables below) held by our NEOs, upon the date of a termination of the executive's employment as a result of death or disability, all unvested restricted stock units and PEP awards will vest in full. Upon the date of a termination of the executive's employment as a result of Retirement, a pro rata vesting portion of then unvested restricted stock unit and PEP awards will vest. The proration will be calculated as a percentage where the denominator is the number of months in the performance cycle of the relevant award and the numerator is the number of whole months from the beginning date of the performance cycle through the date of the executive's termination.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3" w:name="page94"/>
    <w:bookmarkEnd w:id="93"/>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76770" cy="114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Estimated Potential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5"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Involuntary</w:t>
            </w:r>
          </w:p>
        </w:tc>
      </w:tr>
      <w:tr>
        <w:trPr>
          <w:trHeight w:val="109"/>
        </w:trPr>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jc w:val="right"/>
              <w:ind w:right="131"/>
              <w:spacing w:after="0" w:line="110" w:lineRule="exact"/>
              <w:rPr>
                <w:sz w:val="20"/>
                <w:szCs w:val="20"/>
                <w:color w:val="auto"/>
              </w:rPr>
            </w:pPr>
            <w:r>
              <w:rPr>
                <w:rFonts w:ascii="Arial" w:cs="Arial" w:eastAsia="Arial" w:hAnsi="Arial"/>
                <w:sz w:val="10"/>
                <w:szCs w:val="10"/>
                <w:b w:val="1"/>
                <w:bCs w:val="1"/>
                <w:color w:val="auto"/>
              </w:rPr>
              <w:t>Involuntary</w:t>
            </w:r>
          </w:p>
        </w:tc>
        <w:tc>
          <w:tcPr>
            <w:tcW w:w="740" w:type="dxa"/>
            <w:vAlign w:val="bottom"/>
            <w:gridSpan w:val="2"/>
          </w:tcPr>
          <w:p>
            <w:pPr>
              <w:jc w:val="right"/>
              <w:ind w:right="20"/>
              <w:spacing w:after="0" w:line="110" w:lineRule="exact"/>
              <w:rPr>
                <w:sz w:val="20"/>
                <w:szCs w:val="20"/>
                <w:color w:val="auto"/>
              </w:rPr>
            </w:pPr>
            <w:r>
              <w:rPr>
                <w:rFonts w:ascii="Arial" w:cs="Arial" w:eastAsia="Arial" w:hAnsi="Arial"/>
                <w:sz w:val="10"/>
                <w:szCs w:val="10"/>
                <w:b w:val="1"/>
                <w:bCs w:val="1"/>
                <w:color w:val="auto"/>
              </w:rPr>
              <w:t>Termination</w:t>
            </w:r>
          </w:p>
        </w:tc>
      </w:tr>
      <w:tr>
        <w:trPr>
          <w:trHeight w:val="109"/>
        </w:trPr>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jc w:val="right"/>
              <w:ind w:right="111"/>
              <w:spacing w:after="0" w:line="110" w:lineRule="exact"/>
              <w:rPr>
                <w:sz w:val="20"/>
                <w:szCs w:val="20"/>
                <w:color w:val="auto"/>
              </w:rPr>
            </w:pPr>
            <w:r>
              <w:rPr>
                <w:rFonts w:ascii="Arial" w:cs="Arial" w:eastAsia="Arial" w:hAnsi="Arial"/>
                <w:sz w:val="10"/>
                <w:szCs w:val="10"/>
                <w:b w:val="1"/>
                <w:bCs w:val="1"/>
                <w:color w:val="auto"/>
              </w:rPr>
              <w:t>Involuntary</w:t>
            </w:r>
          </w:p>
        </w:tc>
        <w:tc>
          <w:tcPr>
            <w:tcW w:w="920" w:type="dxa"/>
            <w:vAlign w:val="bottom"/>
          </w:tcPr>
          <w:p>
            <w:pPr>
              <w:jc w:val="right"/>
              <w:ind w:right="131"/>
              <w:spacing w:after="0" w:line="110" w:lineRule="exact"/>
              <w:rPr>
                <w:sz w:val="20"/>
                <w:szCs w:val="20"/>
                <w:color w:val="auto"/>
              </w:rPr>
            </w:pPr>
            <w:r>
              <w:rPr>
                <w:rFonts w:ascii="Arial" w:cs="Arial" w:eastAsia="Arial" w:hAnsi="Arial"/>
                <w:sz w:val="10"/>
                <w:szCs w:val="10"/>
                <w:b w:val="1"/>
                <w:bCs w:val="1"/>
                <w:color w:val="auto"/>
              </w:rPr>
              <w:t>Termination</w:t>
            </w:r>
          </w:p>
        </w:tc>
        <w:tc>
          <w:tcPr>
            <w:tcW w:w="740" w:type="dxa"/>
            <w:vAlign w:val="bottom"/>
            <w:gridSpan w:val="2"/>
          </w:tcPr>
          <w:p>
            <w:pPr>
              <w:jc w:val="right"/>
              <w:ind w:right="20"/>
              <w:spacing w:after="0" w:line="110" w:lineRule="exact"/>
              <w:rPr>
                <w:sz w:val="20"/>
                <w:szCs w:val="20"/>
                <w:color w:val="auto"/>
              </w:rPr>
            </w:pPr>
            <w:r>
              <w:rPr>
                <w:rFonts w:ascii="Arial" w:cs="Arial" w:eastAsia="Arial" w:hAnsi="Arial"/>
                <w:sz w:val="10"/>
                <w:szCs w:val="10"/>
                <w:b w:val="1"/>
                <w:bCs w:val="1"/>
                <w:color w:val="auto"/>
              </w:rPr>
              <w:t>Upon</w:t>
            </w:r>
          </w:p>
        </w:tc>
      </w:tr>
      <w:tr>
        <w:trPr>
          <w:trHeight w:val="109"/>
        </w:trPr>
        <w:tc>
          <w:tcPr>
            <w:tcW w:w="920" w:type="dxa"/>
            <w:vAlign w:val="bottom"/>
          </w:tcPr>
          <w:p>
            <w:pPr>
              <w:spacing w:after="0" w:line="110" w:lineRule="exact"/>
              <w:rPr>
                <w:sz w:val="20"/>
                <w:szCs w:val="20"/>
                <w:color w:val="auto"/>
              </w:rPr>
            </w:pPr>
            <w:r>
              <w:rPr>
                <w:rFonts w:ascii="Arial" w:cs="Arial" w:eastAsia="Arial" w:hAnsi="Arial"/>
                <w:sz w:val="10"/>
                <w:szCs w:val="10"/>
                <w:b w:val="1"/>
                <w:bCs w:val="1"/>
                <w:color w:val="auto"/>
              </w:rPr>
              <w:t>Name and</w:t>
            </w:r>
          </w:p>
        </w:tc>
        <w:tc>
          <w:tcPr>
            <w:tcW w:w="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jc w:val="right"/>
              <w:ind w:right="111"/>
              <w:spacing w:after="0" w:line="110" w:lineRule="exact"/>
              <w:rPr>
                <w:sz w:val="20"/>
                <w:szCs w:val="20"/>
                <w:color w:val="auto"/>
              </w:rPr>
            </w:pPr>
            <w:r>
              <w:rPr>
                <w:rFonts w:ascii="Arial" w:cs="Arial" w:eastAsia="Arial" w:hAnsi="Arial"/>
                <w:sz w:val="10"/>
                <w:szCs w:val="10"/>
                <w:b w:val="1"/>
                <w:bCs w:val="1"/>
                <w:color w:val="auto"/>
              </w:rPr>
              <w:t>Voluntary</w:t>
            </w:r>
          </w:p>
        </w:tc>
        <w:tc>
          <w:tcPr>
            <w:tcW w:w="840" w:type="dxa"/>
            <w:vAlign w:val="bottom"/>
          </w:tcPr>
          <w:p>
            <w:pPr>
              <w:spacing w:after="0"/>
              <w:rPr>
                <w:sz w:val="9"/>
                <w:szCs w:val="9"/>
                <w:color w:val="auto"/>
              </w:rPr>
            </w:pPr>
          </w:p>
        </w:tc>
        <w:tc>
          <w:tcPr>
            <w:tcW w:w="900" w:type="dxa"/>
            <w:vAlign w:val="bottom"/>
          </w:tcPr>
          <w:p>
            <w:pPr>
              <w:jc w:val="right"/>
              <w:ind w:right="111"/>
              <w:spacing w:after="0" w:line="110" w:lineRule="exact"/>
              <w:rPr>
                <w:sz w:val="20"/>
                <w:szCs w:val="20"/>
                <w:color w:val="auto"/>
              </w:rPr>
            </w:pPr>
            <w:r>
              <w:rPr>
                <w:rFonts w:ascii="Arial" w:cs="Arial" w:eastAsia="Arial" w:hAnsi="Arial"/>
                <w:sz w:val="10"/>
                <w:szCs w:val="10"/>
                <w:b w:val="1"/>
                <w:bCs w:val="1"/>
                <w:color w:val="auto"/>
              </w:rPr>
              <w:t>Termination</w:t>
            </w:r>
          </w:p>
        </w:tc>
        <w:tc>
          <w:tcPr>
            <w:tcW w:w="920" w:type="dxa"/>
            <w:vAlign w:val="bottom"/>
          </w:tcPr>
          <w:p>
            <w:pPr>
              <w:jc w:val="right"/>
              <w:ind w:right="131"/>
              <w:spacing w:after="0" w:line="110" w:lineRule="exact"/>
              <w:rPr>
                <w:sz w:val="20"/>
                <w:szCs w:val="20"/>
                <w:color w:val="auto"/>
              </w:rPr>
            </w:pPr>
            <w:r>
              <w:rPr>
                <w:rFonts w:ascii="Arial" w:cs="Arial" w:eastAsia="Arial" w:hAnsi="Arial"/>
                <w:sz w:val="10"/>
                <w:szCs w:val="10"/>
                <w:b w:val="1"/>
                <w:bCs w:val="1"/>
                <w:color w:val="auto"/>
              </w:rPr>
              <w:t>Without</w:t>
            </w:r>
          </w:p>
        </w:tc>
        <w:tc>
          <w:tcPr>
            <w:tcW w:w="740" w:type="dxa"/>
            <w:vAlign w:val="bottom"/>
            <w:gridSpan w:val="2"/>
          </w:tcPr>
          <w:p>
            <w:pPr>
              <w:jc w:val="right"/>
              <w:ind w:right="20"/>
              <w:spacing w:after="0" w:line="110" w:lineRule="exact"/>
              <w:rPr>
                <w:sz w:val="20"/>
                <w:szCs w:val="20"/>
                <w:color w:val="auto"/>
              </w:rPr>
            </w:pPr>
            <w:r>
              <w:rPr>
                <w:rFonts w:ascii="Arial" w:cs="Arial" w:eastAsia="Arial" w:hAnsi="Arial"/>
                <w:sz w:val="10"/>
                <w:szCs w:val="10"/>
                <w:b w:val="1"/>
                <w:bCs w:val="1"/>
                <w:color w:val="auto"/>
              </w:rPr>
              <w:t>Change of</w:t>
            </w:r>
          </w:p>
        </w:tc>
      </w:tr>
      <w:tr>
        <w:trPr>
          <w:trHeight w:val="118"/>
        </w:trPr>
        <w:tc>
          <w:tcPr>
            <w:tcW w:w="920" w:type="dxa"/>
            <w:vAlign w:val="bottom"/>
          </w:tcPr>
          <w:p>
            <w:pPr>
              <w:spacing w:after="0"/>
              <w:rPr>
                <w:sz w:val="20"/>
                <w:szCs w:val="20"/>
                <w:color w:val="auto"/>
              </w:rPr>
            </w:pPr>
            <w:r>
              <w:rPr>
                <w:rFonts w:ascii="Arial" w:cs="Arial" w:eastAsia="Arial" w:hAnsi="Arial"/>
                <w:sz w:val="10"/>
                <w:szCs w:val="10"/>
                <w:b w:val="1"/>
                <w:bCs w:val="1"/>
                <w:color w:val="auto"/>
              </w:rPr>
              <w:t>Principal Position</w:t>
            </w:r>
          </w:p>
        </w:tc>
        <w:tc>
          <w:tcPr>
            <w:tcW w:w="1840" w:type="dxa"/>
            <w:vAlign w:val="bottom"/>
            <w:gridSpan w:val="2"/>
          </w:tcPr>
          <w:p>
            <w:pPr>
              <w:ind w:left="120"/>
              <w:spacing w:after="0"/>
              <w:rPr>
                <w:sz w:val="20"/>
                <w:szCs w:val="20"/>
                <w:color w:val="auto"/>
              </w:rPr>
            </w:pPr>
            <w:r>
              <w:rPr>
                <w:rFonts w:ascii="Arial" w:cs="Arial" w:eastAsia="Arial" w:hAnsi="Arial"/>
                <w:sz w:val="10"/>
                <w:szCs w:val="10"/>
                <w:b w:val="1"/>
                <w:bCs w:val="1"/>
                <w:color w:val="auto"/>
              </w:rPr>
              <w:t>Plan Name</w:t>
            </w:r>
          </w:p>
        </w:tc>
        <w:tc>
          <w:tcPr>
            <w:tcW w:w="1140" w:type="dxa"/>
            <w:vAlign w:val="bottom"/>
          </w:tcPr>
          <w:p>
            <w:pPr>
              <w:jc w:val="right"/>
              <w:ind w:right="131"/>
              <w:spacing w:after="0"/>
              <w:rPr>
                <w:sz w:val="20"/>
                <w:szCs w:val="20"/>
                <w:color w:val="auto"/>
              </w:rPr>
            </w:pPr>
            <w:r>
              <w:rPr>
                <w:rFonts w:ascii="Arial" w:cs="Arial" w:eastAsia="Arial" w:hAnsi="Arial"/>
                <w:sz w:val="10"/>
                <w:szCs w:val="10"/>
                <w:b w:val="1"/>
                <w:bCs w:val="1"/>
                <w:color w:val="auto"/>
              </w:rPr>
              <w:t>Death</w:t>
            </w:r>
          </w:p>
        </w:tc>
        <w:tc>
          <w:tcPr>
            <w:tcW w:w="880" w:type="dxa"/>
            <w:vAlign w:val="bottom"/>
          </w:tcPr>
          <w:p>
            <w:pPr>
              <w:jc w:val="right"/>
              <w:ind w:right="131"/>
              <w:spacing w:after="0"/>
              <w:rPr>
                <w:sz w:val="20"/>
                <w:szCs w:val="20"/>
                <w:color w:val="auto"/>
              </w:rPr>
            </w:pPr>
            <w:r>
              <w:rPr>
                <w:rFonts w:ascii="Arial" w:cs="Arial" w:eastAsia="Arial" w:hAnsi="Arial"/>
                <w:sz w:val="10"/>
                <w:szCs w:val="10"/>
                <w:b w:val="1"/>
                <w:bCs w:val="1"/>
                <w:color w:val="auto"/>
              </w:rPr>
              <w:t>Disability</w:t>
            </w:r>
          </w:p>
        </w:tc>
        <w:tc>
          <w:tcPr>
            <w:tcW w:w="880" w:type="dxa"/>
            <w:vAlign w:val="bottom"/>
          </w:tcPr>
          <w:p>
            <w:pPr>
              <w:jc w:val="right"/>
              <w:ind w:right="111"/>
              <w:spacing w:after="0"/>
              <w:rPr>
                <w:sz w:val="20"/>
                <w:szCs w:val="20"/>
                <w:color w:val="auto"/>
              </w:rPr>
            </w:pPr>
            <w:r>
              <w:rPr>
                <w:rFonts w:ascii="Arial" w:cs="Arial" w:eastAsia="Arial" w:hAnsi="Arial"/>
                <w:sz w:val="10"/>
                <w:szCs w:val="10"/>
                <w:b w:val="1"/>
                <w:bCs w:val="1"/>
                <w:color w:val="auto"/>
              </w:rPr>
              <w:t>Termination</w:t>
            </w:r>
          </w:p>
        </w:tc>
        <w:tc>
          <w:tcPr>
            <w:tcW w:w="840" w:type="dxa"/>
            <w:vAlign w:val="bottom"/>
          </w:tcPr>
          <w:p>
            <w:pPr>
              <w:jc w:val="right"/>
              <w:ind w:right="131"/>
              <w:spacing w:after="0"/>
              <w:rPr>
                <w:sz w:val="20"/>
                <w:szCs w:val="20"/>
                <w:color w:val="auto"/>
              </w:rPr>
            </w:pPr>
            <w:r>
              <w:rPr>
                <w:rFonts w:ascii="Arial" w:cs="Arial" w:eastAsia="Arial" w:hAnsi="Arial"/>
                <w:sz w:val="10"/>
                <w:szCs w:val="10"/>
                <w:b w:val="1"/>
                <w:bCs w:val="1"/>
                <w:color w:val="auto"/>
              </w:rPr>
              <w:t>Retirement</w:t>
            </w:r>
          </w:p>
        </w:tc>
        <w:tc>
          <w:tcPr>
            <w:tcW w:w="900" w:type="dxa"/>
            <w:vAlign w:val="bottom"/>
          </w:tcPr>
          <w:p>
            <w:pPr>
              <w:jc w:val="right"/>
              <w:ind w:right="111"/>
              <w:spacing w:after="0"/>
              <w:rPr>
                <w:sz w:val="20"/>
                <w:szCs w:val="20"/>
                <w:color w:val="auto"/>
              </w:rPr>
            </w:pPr>
            <w:r>
              <w:rPr>
                <w:rFonts w:ascii="Arial" w:cs="Arial" w:eastAsia="Arial" w:hAnsi="Arial"/>
                <w:sz w:val="10"/>
                <w:szCs w:val="10"/>
                <w:b w:val="1"/>
                <w:bCs w:val="1"/>
                <w:color w:val="auto"/>
              </w:rPr>
              <w:t>for Cause</w:t>
            </w:r>
          </w:p>
        </w:tc>
        <w:tc>
          <w:tcPr>
            <w:tcW w:w="920" w:type="dxa"/>
            <w:vAlign w:val="bottom"/>
          </w:tcPr>
          <w:p>
            <w:pPr>
              <w:jc w:val="right"/>
              <w:ind w:right="131"/>
              <w:spacing w:after="0"/>
              <w:rPr>
                <w:sz w:val="20"/>
                <w:szCs w:val="20"/>
                <w:color w:val="auto"/>
              </w:rPr>
            </w:pPr>
            <w:r>
              <w:rPr>
                <w:rFonts w:ascii="Arial" w:cs="Arial" w:eastAsia="Arial" w:hAnsi="Arial"/>
                <w:sz w:val="10"/>
                <w:szCs w:val="10"/>
                <w:b w:val="1"/>
                <w:bCs w:val="1"/>
                <w:color w:val="auto"/>
              </w:rPr>
              <w:t>Cause</w:t>
            </w:r>
          </w:p>
        </w:tc>
        <w:tc>
          <w:tcPr>
            <w:tcW w:w="74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Control(1)</w:t>
            </w:r>
          </w:p>
        </w:tc>
      </w:tr>
      <w:tr>
        <w:trPr>
          <w:trHeight w:val="128"/>
        </w:trPr>
        <w:tc>
          <w:tcPr>
            <w:tcW w:w="920" w:type="dxa"/>
            <w:vAlign w:val="bottom"/>
            <w:tcBorders>
              <w:top w:val="single" w:sz="8" w:color="00B2E5"/>
            </w:tcBorders>
          </w:tcPr>
          <w:p>
            <w:pPr>
              <w:spacing w:after="0"/>
              <w:rPr>
                <w:sz w:val="20"/>
                <w:szCs w:val="20"/>
                <w:color w:val="auto"/>
              </w:rPr>
            </w:pPr>
            <w:r>
              <w:rPr>
                <w:rFonts w:ascii="Arial" w:cs="Arial" w:eastAsia="Arial" w:hAnsi="Arial"/>
                <w:sz w:val="10"/>
                <w:szCs w:val="10"/>
                <w:color w:val="auto"/>
              </w:rPr>
              <w:t>W. Troy Rudd</w:t>
            </w:r>
          </w:p>
        </w:tc>
        <w:tc>
          <w:tcPr>
            <w:tcW w:w="1840" w:type="dxa"/>
            <w:vAlign w:val="bottom"/>
            <w:tcBorders>
              <w:top w:val="single" w:sz="8" w:color="00B2E5"/>
            </w:tcBorders>
            <w:gridSpan w:val="2"/>
          </w:tcPr>
          <w:p>
            <w:pPr>
              <w:ind w:left="120"/>
              <w:spacing w:after="0"/>
              <w:rPr>
                <w:sz w:val="20"/>
                <w:szCs w:val="20"/>
                <w:color w:val="auto"/>
              </w:rPr>
            </w:pPr>
            <w:r>
              <w:rPr>
                <w:rFonts w:ascii="Arial" w:cs="Arial" w:eastAsia="Arial" w:hAnsi="Arial"/>
                <w:sz w:val="10"/>
                <w:szCs w:val="10"/>
                <w:color w:val="auto"/>
              </w:rPr>
              <w:t>Long-Term Incentive(2)</w:t>
            </w:r>
          </w:p>
        </w:tc>
        <w:tc>
          <w:tcPr>
            <w:tcW w:w="1140" w:type="dxa"/>
            <w:vAlign w:val="bottom"/>
            <w:tcBorders>
              <w:top w:val="single" w:sz="8" w:color="00B2E5"/>
            </w:tcBorders>
          </w:tcPr>
          <w:p>
            <w:pPr>
              <w:jc w:val="right"/>
              <w:ind w:right="131"/>
              <w:spacing w:after="0"/>
              <w:rPr>
                <w:sz w:val="20"/>
                <w:szCs w:val="20"/>
                <w:color w:val="auto"/>
              </w:rPr>
            </w:pPr>
            <w:r>
              <w:rPr>
                <w:rFonts w:ascii="Arial" w:cs="Arial" w:eastAsia="Arial" w:hAnsi="Arial"/>
                <w:sz w:val="10"/>
                <w:szCs w:val="10"/>
                <w:color w:val="auto"/>
              </w:rPr>
              <w:t>$11,215,212</w:t>
            </w:r>
          </w:p>
        </w:tc>
        <w:tc>
          <w:tcPr>
            <w:tcW w:w="880" w:type="dxa"/>
            <w:vAlign w:val="bottom"/>
            <w:tcBorders>
              <w:top w:val="single" w:sz="8" w:color="00B2E5"/>
            </w:tcBorders>
          </w:tcPr>
          <w:p>
            <w:pPr>
              <w:jc w:val="right"/>
              <w:ind w:right="131"/>
              <w:spacing w:after="0"/>
              <w:rPr>
                <w:sz w:val="20"/>
                <w:szCs w:val="20"/>
                <w:color w:val="auto"/>
              </w:rPr>
            </w:pPr>
            <w:r>
              <w:rPr>
                <w:rFonts w:ascii="Arial" w:cs="Arial" w:eastAsia="Arial" w:hAnsi="Arial"/>
                <w:sz w:val="10"/>
                <w:szCs w:val="10"/>
                <w:color w:val="auto"/>
              </w:rPr>
              <w:t>$11,215,212</w:t>
            </w:r>
          </w:p>
        </w:tc>
        <w:tc>
          <w:tcPr>
            <w:tcW w:w="880" w:type="dxa"/>
            <w:vAlign w:val="bottom"/>
            <w:tcBorders>
              <w:top w:val="single" w:sz="8" w:color="00B2E5"/>
            </w:tcBorders>
          </w:tcPr>
          <w:p>
            <w:pPr>
              <w:jc w:val="right"/>
              <w:ind w:right="111"/>
              <w:spacing w:after="0"/>
              <w:rPr>
                <w:sz w:val="20"/>
                <w:szCs w:val="20"/>
                <w:color w:val="auto"/>
              </w:rPr>
            </w:pPr>
            <w:r>
              <w:rPr>
                <w:rFonts w:ascii="Arial" w:cs="Arial" w:eastAsia="Arial" w:hAnsi="Arial"/>
                <w:sz w:val="10"/>
                <w:szCs w:val="10"/>
                <w:color w:val="auto"/>
              </w:rPr>
              <w:t>$0</w:t>
            </w:r>
          </w:p>
        </w:tc>
        <w:tc>
          <w:tcPr>
            <w:tcW w:w="840" w:type="dxa"/>
            <w:vAlign w:val="bottom"/>
            <w:tcBorders>
              <w:top w:val="single" w:sz="8" w:color="00B2E5"/>
            </w:tcBorders>
          </w:tcPr>
          <w:p>
            <w:pPr>
              <w:jc w:val="right"/>
              <w:ind w:right="131"/>
              <w:spacing w:after="0"/>
              <w:rPr>
                <w:sz w:val="20"/>
                <w:szCs w:val="20"/>
                <w:color w:val="auto"/>
              </w:rPr>
            </w:pPr>
            <w:r>
              <w:rPr>
                <w:rFonts w:ascii="Arial" w:cs="Arial" w:eastAsia="Arial" w:hAnsi="Arial"/>
                <w:sz w:val="10"/>
                <w:szCs w:val="10"/>
                <w:color w:val="auto"/>
              </w:rPr>
              <w:t>$0</w:t>
            </w:r>
          </w:p>
        </w:tc>
        <w:tc>
          <w:tcPr>
            <w:tcW w:w="900" w:type="dxa"/>
            <w:vAlign w:val="bottom"/>
            <w:tcBorders>
              <w:top w:val="single" w:sz="8" w:color="00B2E5"/>
            </w:tcBorders>
          </w:tcPr>
          <w:p>
            <w:pPr>
              <w:jc w:val="right"/>
              <w:ind w:right="111"/>
              <w:spacing w:after="0"/>
              <w:rPr>
                <w:sz w:val="20"/>
                <w:szCs w:val="20"/>
                <w:color w:val="auto"/>
              </w:rPr>
            </w:pPr>
            <w:r>
              <w:rPr>
                <w:rFonts w:ascii="Arial" w:cs="Arial" w:eastAsia="Arial" w:hAnsi="Arial"/>
                <w:sz w:val="10"/>
                <w:szCs w:val="10"/>
                <w:color w:val="auto"/>
              </w:rPr>
              <w:t>$0</w:t>
            </w:r>
          </w:p>
        </w:tc>
        <w:tc>
          <w:tcPr>
            <w:tcW w:w="920" w:type="dxa"/>
            <w:vAlign w:val="bottom"/>
            <w:tcBorders>
              <w:top w:val="single" w:sz="8" w:color="00B2E5"/>
            </w:tcBorders>
          </w:tcPr>
          <w:p>
            <w:pPr>
              <w:jc w:val="right"/>
              <w:ind w:right="131"/>
              <w:spacing w:after="0"/>
              <w:rPr>
                <w:sz w:val="20"/>
                <w:szCs w:val="20"/>
                <w:color w:val="auto"/>
              </w:rPr>
            </w:pPr>
            <w:r>
              <w:rPr>
                <w:rFonts w:ascii="Arial" w:cs="Arial" w:eastAsia="Arial" w:hAnsi="Arial"/>
                <w:sz w:val="10"/>
                <w:szCs w:val="10"/>
                <w:color w:val="auto"/>
              </w:rPr>
              <w:t>$6,732,851</w:t>
            </w:r>
          </w:p>
        </w:tc>
        <w:tc>
          <w:tcPr>
            <w:tcW w:w="720" w:type="dxa"/>
            <w:vAlign w:val="bottom"/>
            <w:tcBorders>
              <w:top w:val="single" w:sz="8" w:color="00B2E5"/>
            </w:tcBorders>
          </w:tcPr>
          <w:p>
            <w:pPr>
              <w:jc w:val="right"/>
              <w:spacing w:after="0"/>
              <w:rPr>
                <w:sz w:val="20"/>
                <w:szCs w:val="20"/>
                <w:color w:val="auto"/>
              </w:rPr>
            </w:pPr>
            <w:r>
              <w:rPr>
                <w:rFonts w:ascii="Arial" w:cs="Arial" w:eastAsia="Arial" w:hAnsi="Arial"/>
                <w:sz w:val="10"/>
                <w:szCs w:val="10"/>
                <w:color w:val="auto"/>
              </w:rPr>
              <w:t>$11,215,212</w:t>
            </w:r>
          </w:p>
        </w:tc>
        <w:tc>
          <w:tcPr>
            <w:tcW w:w="20" w:type="dxa"/>
            <w:vAlign w:val="bottom"/>
          </w:tcPr>
          <w:p>
            <w:pPr>
              <w:spacing w:after="0"/>
              <w:rPr>
                <w:sz w:val="11"/>
                <w:szCs w:val="11"/>
                <w:color w:val="auto"/>
              </w:rPr>
            </w:pPr>
          </w:p>
        </w:tc>
      </w:tr>
      <w:tr>
        <w:trPr>
          <w:trHeight w:val="137"/>
        </w:trPr>
        <w:tc>
          <w:tcPr>
            <w:tcW w:w="920" w:type="dxa"/>
            <w:vAlign w:val="bottom"/>
          </w:tcPr>
          <w:p>
            <w:pPr>
              <w:spacing w:after="0"/>
              <w:rPr>
                <w:sz w:val="11"/>
                <w:szCs w:val="11"/>
                <w:color w:val="auto"/>
              </w:rPr>
            </w:pPr>
          </w:p>
        </w:tc>
        <w:tc>
          <w:tcPr>
            <w:tcW w:w="1840" w:type="dxa"/>
            <w:vAlign w:val="bottom"/>
            <w:gridSpan w:val="2"/>
          </w:tcPr>
          <w:p>
            <w:pPr>
              <w:ind w:left="120"/>
              <w:spacing w:after="0"/>
              <w:rPr>
                <w:sz w:val="20"/>
                <w:szCs w:val="20"/>
                <w:color w:val="auto"/>
              </w:rPr>
            </w:pPr>
            <w:r>
              <w:rPr>
                <w:rFonts w:ascii="Arial" w:cs="Arial" w:eastAsia="Arial" w:hAnsi="Arial"/>
                <w:sz w:val="10"/>
                <w:szCs w:val="10"/>
                <w:color w:val="auto"/>
              </w:rPr>
              <w:t>Severance Payment</w:t>
            </w:r>
          </w:p>
        </w:tc>
        <w:tc>
          <w:tcPr>
            <w:tcW w:w="114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88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4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90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920" w:type="dxa"/>
            <w:vAlign w:val="bottom"/>
          </w:tcPr>
          <w:p>
            <w:pPr>
              <w:jc w:val="right"/>
              <w:ind w:right="131"/>
              <w:spacing w:after="0"/>
              <w:rPr>
                <w:sz w:val="20"/>
                <w:szCs w:val="20"/>
                <w:color w:val="auto"/>
              </w:rPr>
            </w:pPr>
            <w:r>
              <w:rPr>
                <w:rFonts w:ascii="Arial" w:cs="Arial" w:eastAsia="Arial" w:hAnsi="Arial"/>
                <w:sz w:val="10"/>
                <w:szCs w:val="10"/>
                <w:color w:val="auto"/>
              </w:rPr>
              <w:t>$2,775,000</w:t>
            </w:r>
          </w:p>
        </w:tc>
        <w:tc>
          <w:tcPr>
            <w:tcW w:w="740" w:type="dxa"/>
            <w:vAlign w:val="bottom"/>
            <w:gridSpan w:val="2"/>
          </w:tcPr>
          <w:p>
            <w:pPr>
              <w:jc w:val="right"/>
              <w:ind w:right="20"/>
              <w:spacing w:after="0"/>
              <w:rPr>
                <w:sz w:val="20"/>
                <w:szCs w:val="20"/>
                <w:color w:val="auto"/>
              </w:rPr>
            </w:pPr>
            <w:r>
              <w:rPr>
                <w:rFonts w:ascii="Arial" w:cs="Arial" w:eastAsia="Arial" w:hAnsi="Arial"/>
                <w:sz w:val="10"/>
                <w:szCs w:val="10"/>
                <w:color w:val="auto"/>
              </w:rPr>
              <w:t>$3,700,000</w:t>
            </w:r>
          </w:p>
        </w:tc>
      </w:tr>
      <w:tr>
        <w:trPr>
          <w:trHeight w:val="146"/>
        </w:trPr>
        <w:tc>
          <w:tcPr>
            <w:tcW w:w="920" w:type="dxa"/>
            <w:vAlign w:val="bottom"/>
          </w:tcPr>
          <w:p>
            <w:pPr>
              <w:spacing w:after="0"/>
              <w:rPr>
                <w:sz w:val="12"/>
                <w:szCs w:val="12"/>
                <w:color w:val="auto"/>
              </w:rPr>
            </w:pPr>
          </w:p>
        </w:tc>
        <w:tc>
          <w:tcPr>
            <w:tcW w:w="1840" w:type="dxa"/>
            <w:vAlign w:val="bottom"/>
            <w:gridSpan w:val="2"/>
          </w:tcPr>
          <w:p>
            <w:pPr>
              <w:ind w:left="120"/>
              <w:spacing w:after="0"/>
              <w:rPr>
                <w:sz w:val="20"/>
                <w:szCs w:val="20"/>
                <w:color w:val="auto"/>
              </w:rPr>
            </w:pPr>
            <w:r>
              <w:rPr>
                <w:rFonts w:ascii="Arial" w:cs="Arial" w:eastAsia="Arial" w:hAnsi="Arial"/>
                <w:sz w:val="10"/>
                <w:szCs w:val="10"/>
                <w:color w:val="auto"/>
              </w:rPr>
              <w:t>Health and Welfare Benefit</w:t>
            </w:r>
          </w:p>
        </w:tc>
        <w:tc>
          <w:tcPr>
            <w:tcW w:w="114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88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4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90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920" w:type="dxa"/>
            <w:vAlign w:val="bottom"/>
          </w:tcPr>
          <w:p>
            <w:pPr>
              <w:jc w:val="right"/>
              <w:ind w:right="131"/>
              <w:spacing w:after="0"/>
              <w:rPr>
                <w:sz w:val="20"/>
                <w:szCs w:val="20"/>
                <w:color w:val="auto"/>
              </w:rPr>
            </w:pPr>
            <w:r>
              <w:rPr>
                <w:rFonts w:ascii="Arial" w:cs="Arial" w:eastAsia="Arial" w:hAnsi="Arial"/>
                <w:sz w:val="10"/>
                <w:szCs w:val="10"/>
                <w:color w:val="auto"/>
              </w:rPr>
              <w:t>$20,618</w:t>
            </w:r>
          </w:p>
        </w:tc>
        <w:tc>
          <w:tcPr>
            <w:tcW w:w="740" w:type="dxa"/>
            <w:vAlign w:val="bottom"/>
            <w:gridSpan w:val="2"/>
          </w:tcPr>
          <w:p>
            <w:pPr>
              <w:jc w:val="right"/>
              <w:ind w:right="20"/>
              <w:spacing w:after="0"/>
              <w:rPr>
                <w:sz w:val="20"/>
                <w:szCs w:val="20"/>
                <w:color w:val="auto"/>
              </w:rPr>
            </w:pPr>
            <w:r>
              <w:rPr>
                <w:rFonts w:ascii="Arial" w:cs="Arial" w:eastAsia="Arial" w:hAnsi="Arial"/>
                <w:sz w:val="10"/>
                <w:szCs w:val="10"/>
                <w:color w:val="auto"/>
              </w:rPr>
              <w:t>$20,618</w:t>
            </w:r>
          </w:p>
        </w:tc>
      </w:tr>
      <w:tr>
        <w:trPr>
          <w:trHeight w:val="219"/>
        </w:trPr>
        <w:tc>
          <w:tcPr>
            <w:tcW w:w="920" w:type="dxa"/>
            <w:vAlign w:val="bottom"/>
          </w:tcPr>
          <w:p>
            <w:pPr>
              <w:spacing w:after="0"/>
              <w:rPr>
                <w:sz w:val="20"/>
                <w:szCs w:val="20"/>
                <w:color w:val="auto"/>
              </w:rPr>
            </w:pPr>
            <w:r>
              <w:rPr>
                <w:rFonts w:ascii="Arial" w:cs="Arial" w:eastAsia="Arial" w:hAnsi="Arial"/>
                <w:sz w:val="10"/>
                <w:szCs w:val="10"/>
                <w:color w:val="auto"/>
              </w:rPr>
              <w:t>Gaurav Kapoor</w:t>
            </w:r>
          </w:p>
        </w:tc>
        <w:tc>
          <w:tcPr>
            <w:tcW w:w="1840" w:type="dxa"/>
            <w:vAlign w:val="bottom"/>
            <w:gridSpan w:val="2"/>
          </w:tcPr>
          <w:p>
            <w:pPr>
              <w:ind w:left="120"/>
              <w:spacing w:after="0"/>
              <w:rPr>
                <w:sz w:val="20"/>
                <w:szCs w:val="20"/>
                <w:color w:val="auto"/>
              </w:rPr>
            </w:pPr>
            <w:r>
              <w:rPr>
                <w:rFonts w:ascii="Arial" w:cs="Arial" w:eastAsia="Arial" w:hAnsi="Arial"/>
                <w:sz w:val="10"/>
                <w:szCs w:val="10"/>
                <w:color w:val="auto"/>
              </w:rPr>
              <w:t>Long-Term Incentive(2)</w:t>
            </w:r>
          </w:p>
        </w:tc>
        <w:tc>
          <w:tcPr>
            <w:tcW w:w="1140" w:type="dxa"/>
            <w:vAlign w:val="bottom"/>
          </w:tcPr>
          <w:p>
            <w:pPr>
              <w:jc w:val="right"/>
              <w:ind w:right="131"/>
              <w:spacing w:after="0"/>
              <w:rPr>
                <w:sz w:val="20"/>
                <w:szCs w:val="20"/>
                <w:color w:val="auto"/>
              </w:rPr>
            </w:pPr>
            <w:r>
              <w:rPr>
                <w:rFonts w:ascii="Arial" w:cs="Arial" w:eastAsia="Arial" w:hAnsi="Arial"/>
                <w:sz w:val="10"/>
                <w:szCs w:val="10"/>
                <w:color w:val="auto"/>
              </w:rPr>
              <w:t>$1,958,985</w:t>
            </w:r>
          </w:p>
        </w:tc>
        <w:tc>
          <w:tcPr>
            <w:tcW w:w="880" w:type="dxa"/>
            <w:vAlign w:val="bottom"/>
          </w:tcPr>
          <w:p>
            <w:pPr>
              <w:jc w:val="right"/>
              <w:ind w:right="131"/>
              <w:spacing w:after="0"/>
              <w:rPr>
                <w:sz w:val="20"/>
                <w:szCs w:val="20"/>
                <w:color w:val="auto"/>
              </w:rPr>
            </w:pPr>
            <w:r>
              <w:rPr>
                <w:rFonts w:ascii="Arial" w:cs="Arial" w:eastAsia="Arial" w:hAnsi="Arial"/>
                <w:sz w:val="10"/>
                <w:szCs w:val="10"/>
                <w:color w:val="auto"/>
              </w:rPr>
              <w:t>$1,958,985</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4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90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920" w:type="dxa"/>
            <w:vAlign w:val="bottom"/>
          </w:tcPr>
          <w:p>
            <w:pPr>
              <w:jc w:val="right"/>
              <w:ind w:right="131"/>
              <w:spacing w:after="0"/>
              <w:rPr>
                <w:sz w:val="20"/>
                <w:szCs w:val="20"/>
                <w:color w:val="auto"/>
              </w:rPr>
            </w:pPr>
            <w:r>
              <w:rPr>
                <w:rFonts w:ascii="Arial" w:cs="Arial" w:eastAsia="Arial" w:hAnsi="Arial"/>
                <w:sz w:val="10"/>
                <w:szCs w:val="10"/>
                <w:color w:val="auto"/>
              </w:rPr>
              <w:t>$472,472</w:t>
            </w:r>
          </w:p>
        </w:tc>
        <w:tc>
          <w:tcPr>
            <w:tcW w:w="740" w:type="dxa"/>
            <w:vAlign w:val="bottom"/>
            <w:gridSpan w:val="2"/>
          </w:tcPr>
          <w:p>
            <w:pPr>
              <w:jc w:val="right"/>
              <w:ind w:right="20"/>
              <w:spacing w:after="0"/>
              <w:rPr>
                <w:sz w:val="20"/>
                <w:szCs w:val="20"/>
                <w:color w:val="auto"/>
              </w:rPr>
            </w:pPr>
            <w:r>
              <w:rPr>
                <w:rFonts w:ascii="Arial" w:cs="Arial" w:eastAsia="Arial" w:hAnsi="Arial"/>
                <w:sz w:val="10"/>
                <w:szCs w:val="10"/>
                <w:color w:val="auto"/>
              </w:rPr>
              <w:t>$1,958,985</w:t>
            </w:r>
          </w:p>
        </w:tc>
      </w:tr>
      <w:tr>
        <w:trPr>
          <w:trHeight w:val="146"/>
        </w:trPr>
        <w:tc>
          <w:tcPr>
            <w:tcW w:w="920" w:type="dxa"/>
            <w:vAlign w:val="bottom"/>
          </w:tcPr>
          <w:p>
            <w:pPr>
              <w:spacing w:after="0"/>
              <w:rPr>
                <w:sz w:val="12"/>
                <w:szCs w:val="12"/>
                <w:color w:val="auto"/>
              </w:rPr>
            </w:pPr>
          </w:p>
        </w:tc>
        <w:tc>
          <w:tcPr>
            <w:tcW w:w="1840" w:type="dxa"/>
            <w:vAlign w:val="bottom"/>
            <w:gridSpan w:val="2"/>
          </w:tcPr>
          <w:p>
            <w:pPr>
              <w:ind w:left="120"/>
              <w:spacing w:after="0"/>
              <w:rPr>
                <w:sz w:val="20"/>
                <w:szCs w:val="20"/>
                <w:color w:val="auto"/>
              </w:rPr>
            </w:pPr>
            <w:r>
              <w:rPr>
                <w:rFonts w:ascii="Arial" w:cs="Arial" w:eastAsia="Arial" w:hAnsi="Arial"/>
                <w:sz w:val="10"/>
                <w:szCs w:val="10"/>
                <w:color w:val="auto"/>
              </w:rPr>
              <w:t>Severance Payment</w:t>
            </w:r>
          </w:p>
        </w:tc>
        <w:tc>
          <w:tcPr>
            <w:tcW w:w="114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88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4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90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920" w:type="dxa"/>
            <w:vAlign w:val="bottom"/>
          </w:tcPr>
          <w:p>
            <w:pPr>
              <w:jc w:val="right"/>
              <w:ind w:right="131"/>
              <w:spacing w:after="0"/>
              <w:rPr>
                <w:sz w:val="20"/>
                <w:szCs w:val="20"/>
                <w:color w:val="auto"/>
              </w:rPr>
            </w:pPr>
            <w:r>
              <w:rPr>
                <w:rFonts w:ascii="Arial" w:cs="Arial" w:eastAsia="Arial" w:hAnsi="Arial"/>
                <w:sz w:val="10"/>
                <w:szCs w:val="10"/>
                <w:color w:val="auto"/>
              </w:rPr>
              <w:t>$921,500</w:t>
            </w:r>
          </w:p>
        </w:tc>
        <w:tc>
          <w:tcPr>
            <w:tcW w:w="740" w:type="dxa"/>
            <w:vAlign w:val="bottom"/>
            <w:gridSpan w:val="2"/>
          </w:tcPr>
          <w:p>
            <w:pPr>
              <w:jc w:val="right"/>
              <w:ind w:right="20"/>
              <w:spacing w:after="0"/>
              <w:rPr>
                <w:sz w:val="20"/>
                <w:szCs w:val="20"/>
                <w:color w:val="auto"/>
              </w:rPr>
            </w:pPr>
            <w:r>
              <w:rPr>
                <w:rFonts w:ascii="Arial" w:cs="Arial" w:eastAsia="Arial" w:hAnsi="Arial"/>
                <w:sz w:val="10"/>
                <w:szCs w:val="10"/>
                <w:color w:val="auto"/>
              </w:rPr>
              <w:t>$1,302,500</w:t>
            </w:r>
          </w:p>
        </w:tc>
      </w:tr>
      <w:tr>
        <w:trPr>
          <w:trHeight w:val="146"/>
        </w:trPr>
        <w:tc>
          <w:tcPr>
            <w:tcW w:w="920" w:type="dxa"/>
            <w:vAlign w:val="bottom"/>
          </w:tcPr>
          <w:p>
            <w:pPr>
              <w:spacing w:after="0"/>
              <w:rPr>
                <w:sz w:val="12"/>
                <w:szCs w:val="12"/>
                <w:color w:val="auto"/>
              </w:rPr>
            </w:pPr>
          </w:p>
        </w:tc>
        <w:tc>
          <w:tcPr>
            <w:tcW w:w="1840" w:type="dxa"/>
            <w:vAlign w:val="bottom"/>
            <w:gridSpan w:val="2"/>
          </w:tcPr>
          <w:p>
            <w:pPr>
              <w:ind w:left="120"/>
              <w:spacing w:after="0"/>
              <w:rPr>
                <w:sz w:val="20"/>
                <w:szCs w:val="20"/>
                <w:color w:val="auto"/>
              </w:rPr>
            </w:pPr>
            <w:r>
              <w:rPr>
                <w:rFonts w:ascii="Arial" w:cs="Arial" w:eastAsia="Arial" w:hAnsi="Arial"/>
                <w:sz w:val="10"/>
                <w:szCs w:val="10"/>
                <w:color w:val="auto"/>
              </w:rPr>
              <w:t>Health and Welfare Benefit</w:t>
            </w:r>
          </w:p>
        </w:tc>
        <w:tc>
          <w:tcPr>
            <w:tcW w:w="114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88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4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90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920" w:type="dxa"/>
            <w:vAlign w:val="bottom"/>
          </w:tcPr>
          <w:p>
            <w:pPr>
              <w:jc w:val="right"/>
              <w:ind w:right="131"/>
              <w:spacing w:after="0"/>
              <w:rPr>
                <w:sz w:val="20"/>
                <w:szCs w:val="20"/>
                <w:color w:val="auto"/>
              </w:rPr>
            </w:pPr>
            <w:r>
              <w:rPr>
                <w:rFonts w:ascii="Arial" w:cs="Arial" w:eastAsia="Arial" w:hAnsi="Arial"/>
                <w:sz w:val="10"/>
                <w:szCs w:val="10"/>
                <w:color w:val="auto"/>
              </w:rPr>
              <w:t>$10,856</w:t>
            </w:r>
          </w:p>
        </w:tc>
        <w:tc>
          <w:tcPr>
            <w:tcW w:w="740" w:type="dxa"/>
            <w:vAlign w:val="bottom"/>
            <w:gridSpan w:val="2"/>
          </w:tcPr>
          <w:p>
            <w:pPr>
              <w:jc w:val="right"/>
              <w:ind w:right="20"/>
              <w:spacing w:after="0"/>
              <w:rPr>
                <w:sz w:val="20"/>
                <w:szCs w:val="20"/>
                <w:color w:val="auto"/>
              </w:rPr>
            </w:pPr>
            <w:r>
              <w:rPr>
                <w:rFonts w:ascii="Arial" w:cs="Arial" w:eastAsia="Arial" w:hAnsi="Arial"/>
                <w:sz w:val="10"/>
                <w:szCs w:val="10"/>
                <w:color w:val="auto"/>
              </w:rPr>
              <w:t>$16,285</w:t>
            </w:r>
          </w:p>
        </w:tc>
      </w:tr>
      <w:tr>
        <w:trPr>
          <w:trHeight w:val="219"/>
        </w:trPr>
        <w:tc>
          <w:tcPr>
            <w:tcW w:w="920" w:type="dxa"/>
            <w:vAlign w:val="bottom"/>
          </w:tcPr>
          <w:p>
            <w:pPr>
              <w:spacing w:after="0"/>
              <w:rPr>
                <w:sz w:val="20"/>
                <w:szCs w:val="20"/>
                <w:color w:val="auto"/>
              </w:rPr>
            </w:pPr>
            <w:r>
              <w:rPr>
                <w:rFonts w:ascii="Arial" w:cs="Arial" w:eastAsia="Arial" w:hAnsi="Arial"/>
                <w:sz w:val="10"/>
                <w:szCs w:val="10"/>
                <w:color w:val="auto"/>
              </w:rPr>
              <w:t>Lara Poloni</w:t>
            </w:r>
          </w:p>
        </w:tc>
        <w:tc>
          <w:tcPr>
            <w:tcW w:w="1840" w:type="dxa"/>
            <w:vAlign w:val="bottom"/>
            <w:gridSpan w:val="2"/>
          </w:tcPr>
          <w:p>
            <w:pPr>
              <w:ind w:left="120"/>
              <w:spacing w:after="0"/>
              <w:rPr>
                <w:sz w:val="20"/>
                <w:szCs w:val="20"/>
                <w:color w:val="auto"/>
              </w:rPr>
            </w:pPr>
            <w:r>
              <w:rPr>
                <w:rFonts w:ascii="Arial" w:cs="Arial" w:eastAsia="Arial" w:hAnsi="Arial"/>
                <w:sz w:val="10"/>
                <w:szCs w:val="10"/>
                <w:color w:val="auto"/>
              </w:rPr>
              <w:t>Long-Term Incentive(2)</w:t>
            </w:r>
          </w:p>
        </w:tc>
        <w:tc>
          <w:tcPr>
            <w:tcW w:w="1140" w:type="dxa"/>
            <w:vAlign w:val="bottom"/>
          </w:tcPr>
          <w:p>
            <w:pPr>
              <w:jc w:val="right"/>
              <w:ind w:right="131"/>
              <w:spacing w:after="0"/>
              <w:rPr>
                <w:sz w:val="20"/>
                <w:szCs w:val="20"/>
                <w:color w:val="auto"/>
              </w:rPr>
            </w:pPr>
            <w:r>
              <w:rPr>
                <w:rFonts w:ascii="Arial" w:cs="Arial" w:eastAsia="Arial" w:hAnsi="Arial"/>
                <w:sz w:val="10"/>
                <w:szCs w:val="10"/>
                <w:color w:val="auto"/>
              </w:rPr>
              <w:t>$3,697,319</w:t>
            </w:r>
          </w:p>
        </w:tc>
        <w:tc>
          <w:tcPr>
            <w:tcW w:w="880" w:type="dxa"/>
            <w:vAlign w:val="bottom"/>
          </w:tcPr>
          <w:p>
            <w:pPr>
              <w:jc w:val="right"/>
              <w:ind w:right="131"/>
              <w:spacing w:after="0"/>
              <w:rPr>
                <w:sz w:val="20"/>
                <w:szCs w:val="20"/>
                <w:color w:val="auto"/>
              </w:rPr>
            </w:pPr>
            <w:r>
              <w:rPr>
                <w:rFonts w:ascii="Arial" w:cs="Arial" w:eastAsia="Arial" w:hAnsi="Arial"/>
                <w:sz w:val="10"/>
                <w:szCs w:val="10"/>
                <w:color w:val="auto"/>
              </w:rPr>
              <w:t>$3,697,319</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4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90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920" w:type="dxa"/>
            <w:vAlign w:val="bottom"/>
          </w:tcPr>
          <w:p>
            <w:pPr>
              <w:jc w:val="right"/>
              <w:ind w:right="131"/>
              <w:spacing w:after="0"/>
              <w:rPr>
                <w:sz w:val="20"/>
                <w:szCs w:val="20"/>
                <w:color w:val="auto"/>
              </w:rPr>
            </w:pPr>
            <w:r>
              <w:rPr>
                <w:rFonts w:ascii="Arial" w:cs="Arial" w:eastAsia="Arial" w:hAnsi="Arial"/>
                <w:sz w:val="10"/>
                <w:szCs w:val="10"/>
                <w:color w:val="auto"/>
              </w:rPr>
              <w:t>$1,979,954</w:t>
            </w:r>
          </w:p>
        </w:tc>
        <w:tc>
          <w:tcPr>
            <w:tcW w:w="740" w:type="dxa"/>
            <w:vAlign w:val="bottom"/>
            <w:gridSpan w:val="2"/>
          </w:tcPr>
          <w:p>
            <w:pPr>
              <w:jc w:val="right"/>
              <w:ind w:right="20"/>
              <w:spacing w:after="0"/>
              <w:rPr>
                <w:sz w:val="20"/>
                <w:szCs w:val="20"/>
                <w:color w:val="auto"/>
              </w:rPr>
            </w:pPr>
            <w:r>
              <w:rPr>
                <w:rFonts w:ascii="Arial" w:cs="Arial" w:eastAsia="Arial" w:hAnsi="Arial"/>
                <w:sz w:val="10"/>
                <w:szCs w:val="10"/>
                <w:color w:val="auto"/>
              </w:rPr>
              <w:t>$3,697,319</w:t>
            </w:r>
          </w:p>
        </w:tc>
      </w:tr>
      <w:tr>
        <w:trPr>
          <w:trHeight w:val="146"/>
        </w:trPr>
        <w:tc>
          <w:tcPr>
            <w:tcW w:w="920" w:type="dxa"/>
            <w:vAlign w:val="bottom"/>
          </w:tcPr>
          <w:p>
            <w:pPr>
              <w:spacing w:after="0"/>
              <w:rPr>
                <w:sz w:val="12"/>
                <w:szCs w:val="12"/>
                <w:color w:val="auto"/>
              </w:rPr>
            </w:pPr>
          </w:p>
        </w:tc>
        <w:tc>
          <w:tcPr>
            <w:tcW w:w="1840" w:type="dxa"/>
            <w:vAlign w:val="bottom"/>
            <w:gridSpan w:val="2"/>
          </w:tcPr>
          <w:p>
            <w:pPr>
              <w:ind w:left="120"/>
              <w:spacing w:after="0"/>
              <w:rPr>
                <w:sz w:val="20"/>
                <w:szCs w:val="20"/>
                <w:color w:val="auto"/>
              </w:rPr>
            </w:pPr>
            <w:r>
              <w:rPr>
                <w:rFonts w:ascii="Arial" w:cs="Arial" w:eastAsia="Arial" w:hAnsi="Arial"/>
                <w:sz w:val="10"/>
                <w:szCs w:val="10"/>
                <w:color w:val="auto"/>
              </w:rPr>
              <w:t>Severance Payment</w:t>
            </w:r>
          </w:p>
        </w:tc>
        <w:tc>
          <w:tcPr>
            <w:tcW w:w="114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88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4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90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920" w:type="dxa"/>
            <w:vAlign w:val="bottom"/>
          </w:tcPr>
          <w:p>
            <w:pPr>
              <w:jc w:val="right"/>
              <w:ind w:right="131"/>
              <w:spacing w:after="0"/>
              <w:rPr>
                <w:sz w:val="20"/>
                <w:szCs w:val="20"/>
                <w:color w:val="auto"/>
              </w:rPr>
            </w:pPr>
            <w:r>
              <w:rPr>
                <w:rFonts w:ascii="Arial" w:cs="Arial" w:eastAsia="Arial" w:hAnsi="Arial"/>
                <w:sz w:val="10"/>
                <w:szCs w:val="10"/>
                <w:color w:val="auto"/>
              </w:rPr>
              <w:t>$1,375,000</w:t>
            </w:r>
          </w:p>
        </w:tc>
        <w:tc>
          <w:tcPr>
            <w:tcW w:w="740" w:type="dxa"/>
            <w:vAlign w:val="bottom"/>
            <w:gridSpan w:val="2"/>
          </w:tcPr>
          <w:p>
            <w:pPr>
              <w:jc w:val="right"/>
              <w:ind w:right="20"/>
              <w:spacing w:after="0"/>
              <w:rPr>
                <w:sz w:val="20"/>
                <w:szCs w:val="20"/>
                <w:color w:val="auto"/>
              </w:rPr>
            </w:pPr>
            <w:r>
              <w:rPr>
                <w:rFonts w:ascii="Arial" w:cs="Arial" w:eastAsia="Arial" w:hAnsi="Arial"/>
                <w:sz w:val="10"/>
                <w:szCs w:val="10"/>
                <w:color w:val="auto"/>
              </w:rPr>
              <w:t>$1,805,000</w:t>
            </w:r>
          </w:p>
        </w:tc>
      </w:tr>
      <w:tr>
        <w:trPr>
          <w:trHeight w:val="146"/>
        </w:trPr>
        <w:tc>
          <w:tcPr>
            <w:tcW w:w="920" w:type="dxa"/>
            <w:vAlign w:val="bottom"/>
          </w:tcPr>
          <w:p>
            <w:pPr>
              <w:spacing w:after="0"/>
              <w:rPr>
                <w:sz w:val="12"/>
                <w:szCs w:val="12"/>
                <w:color w:val="auto"/>
              </w:rPr>
            </w:pPr>
          </w:p>
        </w:tc>
        <w:tc>
          <w:tcPr>
            <w:tcW w:w="1840" w:type="dxa"/>
            <w:vAlign w:val="bottom"/>
            <w:gridSpan w:val="2"/>
          </w:tcPr>
          <w:p>
            <w:pPr>
              <w:ind w:left="120"/>
              <w:spacing w:after="0"/>
              <w:rPr>
                <w:sz w:val="20"/>
                <w:szCs w:val="20"/>
                <w:color w:val="auto"/>
              </w:rPr>
            </w:pPr>
            <w:r>
              <w:rPr>
                <w:rFonts w:ascii="Arial" w:cs="Arial" w:eastAsia="Arial" w:hAnsi="Arial"/>
                <w:sz w:val="10"/>
                <w:szCs w:val="10"/>
                <w:color w:val="auto"/>
              </w:rPr>
              <w:t>Health and Welfare Benefit</w:t>
            </w:r>
          </w:p>
        </w:tc>
        <w:tc>
          <w:tcPr>
            <w:tcW w:w="114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88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840" w:type="dxa"/>
            <w:vAlign w:val="bottom"/>
          </w:tcPr>
          <w:p>
            <w:pPr>
              <w:jc w:val="right"/>
              <w:ind w:right="131"/>
              <w:spacing w:after="0"/>
              <w:rPr>
                <w:sz w:val="20"/>
                <w:szCs w:val="20"/>
                <w:color w:val="auto"/>
              </w:rPr>
            </w:pPr>
            <w:r>
              <w:rPr>
                <w:rFonts w:ascii="Arial" w:cs="Arial" w:eastAsia="Arial" w:hAnsi="Arial"/>
                <w:sz w:val="10"/>
                <w:szCs w:val="10"/>
                <w:color w:val="auto"/>
              </w:rPr>
              <w:t>$0</w:t>
            </w:r>
          </w:p>
        </w:tc>
        <w:tc>
          <w:tcPr>
            <w:tcW w:w="900" w:type="dxa"/>
            <w:vAlign w:val="bottom"/>
          </w:tcPr>
          <w:p>
            <w:pPr>
              <w:jc w:val="right"/>
              <w:ind w:right="111"/>
              <w:spacing w:after="0"/>
              <w:rPr>
                <w:sz w:val="20"/>
                <w:szCs w:val="20"/>
                <w:color w:val="auto"/>
              </w:rPr>
            </w:pPr>
            <w:r>
              <w:rPr>
                <w:rFonts w:ascii="Arial" w:cs="Arial" w:eastAsia="Arial" w:hAnsi="Arial"/>
                <w:sz w:val="10"/>
                <w:szCs w:val="10"/>
                <w:color w:val="auto"/>
              </w:rPr>
              <w:t>$0</w:t>
            </w:r>
          </w:p>
        </w:tc>
        <w:tc>
          <w:tcPr>
            <w:tcW w:w="920" w:type="dxa"/>
            <w:vAlign w:val="bottom"/>
          </w:tcPr>
          <w:p>
            <w:pPr>
              <w:jc w:val="right"/>
              <w:ind w:right="131"/>
              <w:spacing w:after="0"/>
              <w:rPr>
                <w:sz w:val="20"/>
                <w:szCs w:val="20"/>
                <w:color w:val="auto"/>
              </w:rPr>
            </w:pPr>
            <w:r>
              <w:rPr>
                <w:rFonts w:ascii="Arial" w:cs="Arial" w:eastAsia="Arial" w:hAnsi="Arial"/>
                <w:sz w:val="10"/>
                <w:szCs w:val="10"/>
                <w:color w:val="auto"/>
              </w:rPr>
              <w:t>$948</w:t>
            </w:r>
          </w:p>
        </w:tc>
        <w:tc>
          <w:tcPr>
            <w:tcW w:w="740" w:type="dxa"/>
            <w:vAlign w:val="bottom"/>
            <w:gridSpan w:val="2"/>
          </w:tcPr>
          <w:p>
            <w:pPr>
              <w:jc w:val="right"/>
              <w:ind w:right="20"/>
              <w:spacing w:after="0"/>
              <w:rPr>
                <w:sz w:val="20"/>
                <w:szCs w:val="20"/>
                <w:color w:val="auto"/>
              </w:rPr>
            </w:pPr>
            <w:r>
              <w:rPr>
                <w:rFonts w:ascii="Arial" w:cs="Arial" w:eastAsia="Arial" w:hAnsi="Arial"/>
                <w:sz w:val="10"/>
                <w:szCs w:val="10"/>
                <w:color w:val="auto"/>
              </w:rPr>
              <w:t>$1,422</w:t>
            </w:r>
          </w:p>
        </w:tc>
      </w:tr>
      <w:tr>
        <w:trPr>
          <w:trHeight w:val="219"/>
        </w:trPr>
        <w:tc>
          <w:tcPr>
            <w:tcW w:w="920" w:type="dxa"/>
            <w:vAlign w:val="bottom"/>
          </w:tcPr>
          <w:p>
            <w:pPr>
              <w:spacing w:after="0"/>
              <w:rPr>
                <w:sz w:val="20"/>
                <w:szCs w:val="20"/>
                <w:color w:val="auto"/>
              </w:rPr>
            </w:pPr>
            <w:r>
              <w:rPr>
                <w:rFonts w:ascii="Arial" w:cs="Arial" w:eastAsia="Arial" w:hAnsi="Arial"/>
                <w:sz w:val="10"/>
                <w:szCs w:val="10"/>
                <w:color w:val="auto"/>
              </w:rPr>
              <w:t>Randall A. Wotring</w:t>
            </w:r>
          </w:p>
        </w:tc>
        <w:tc>
          <w:tcPr>
            <w:tcW w:w="1840" w:type="dxa"/>
            <w:vAlign w:val="bottom"/>
            <w:gridSpan w:val="2"/>
          </w:tcPr>
          <w:p>
            <w:pPr>
              <w:ind w:left="120"/>
              <w:spacing w:after="0"/>
              <w:rPr>
                <w:sz w:val="20"/>
                <w:szCs w:val="20"/>
                <w:color w:val="auto"/>
              </w:rPr>
            </w:pPr>
            <w:r>
              <w:rPr>
                <w:rFonts w:ascii="Arial" w:cs="Arial" w:eastAsia="Arial" w:hAnsi="Arial"/>
                <w:sz w:val="10"/>
                <w:szCs w:val="10"/>
                <w:color w:val="auto"/>
              </w:rPr>
              <w:t>Long-Term Incentive(2)</w:t>
            </w:r>
          </w:p>
        </w:tc>
        <w:tc>
          <w:tcPr>
            <w:tcW w:w="11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31"/>
              <w:spacing w:after="0"/>
              <w:rPr>
                <w:sz w:val="20"/>
                <w:szCs w:val="20"/>
                <w:color w:val="auto"/>
              </w:rPr>
            </w:pPr>
            <w:r>
              <w:rPr>
                <w:rFonts w:ascii="Arial" w:cs="Arial" w:eastAsia="Arial" w:hAnsi="Arial"/>
                <w:sz w:val="10"/>
                <w:szCs w:val="10"/>
                <w:color w:val="auto"/>
              </w:rPr>
              <w:t>$2,976,896</w:t>
            </w:r>
          </w:p>
        </w:tc>
        <w:tc>
          <w:tcPr>
            <w:tcW w:w="7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r>
      <w:tr>
        <w:trPr>
          <w:trHeight w:val="146"/>
        </w:trPr>
        <w:tc>
          <w:tcPr>
            <w:tcW w:w="920" w:type="dxa"/>
            <w:vAlign w:val="bottom"/>
          </w:tcPr>
          <w:p>
            <w:pPr>
              <w:spacing w:after="0"/>
              <w:rPr>
                <w:sz w:val="12"/>
                <w:szCs w:val="12"/>
                <w:color w:val="auto"/>
              </w:rPr>
            </w:pPr>
          </w:p>
        </w:tc>
        <w:tc>
          <w:tcPr>
            <w:tcW w:w="1840" w:type="dxa"/>
            <w:vAlign w:val="bottom"/>
            <w:gridSpan w:val="2"/>
          </w:tcPr>
          <w:p>
            <w:pPr>
              <w:ind w:left="120"/>
              <w:spacing w:after="0"/>
              <w:rPr>
                <w:sz w:val="20"/>
                <w:szCs w:val="20"/>
                <w:color w:val="auto"/>
              </w:rPr>
            </w:pPr>
            <w:r>
              <w:rPr>
                <w:rFonts w:ascii="Arial" w:cs="Arial" w:eastAsia="Arial" w:hAnsi="Arial"/>
                <w:sz w:val="10"/>
                <w:szCs w:val="10"/>
                <w:color w:val="auto"/>
              </w:rPr>
              <w:t>Severance Payment</w:t>
            </w:r>
          </w:p>
        </w:tc>
        <w:tc>
          <w:tcPr>
            <w:tcW w:w="11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31"/>
              <w:spacing w:after="0"/>
              <w:rPr>
                <w:sz w:val="20"/>
                <w:szCs w:val="20"/>
                <w:color w:val="auto"/>
              </w:rPr>
            </w:pPr>
            <w:r>
              <w:rPr>
                <w:rFonts w:ascii="Arial" w:cs="Arial" w:eastAsia="Arial" w:hAnsi="Arial"/>
                <w:sz w:val="10"/>
                <w:szCs w:val="10"/>
                <w:color w:val="auto"/>
              </w:rPr>
              <w:t>$1,750,000</w:t>
            </w:r>
          </w:p>
        </w:tc>
        <w:tc>
          <w:tcPr>
            <w:tcW w:w="7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r>
      <w:tr>
        <w:trPr>
          <w:trHeight w:val="146"/>
        </w:trPr>
        <w:tc>
          <w:tcPr>
            <w:tcW w:w="920" w:type="dxa"/>
            <w:vAlign w:val="bottom"/>
          </w:tcPr>
          <w:p>
            <w:pPr>
              <w:spacing w:after="0"/>
              <w:rPr>
                <w:sz w:val="12"/>
                <w:szCs w:val="12"/>
                <w:color w:val="auto"/>
              </w:rPr>
            </w:pPr>
          </w:p>
        </w:tc>
        <w:tc>
          <w:tcPr>
            <w:tcW w:w="1840" w:type="dxa"/>
            <w:vAlign w:val="bottom"/>
            <w:gridSpan w:val="2"/>
          </w:tcPr>
          <w:p>
            <w:pPr>
              <w:ind w:left="120"/>
              <w:spacing w:after="0"/>
              <w:rPr>
                <w:sz w:val="20"/>
                <w:szCs w:val="20"/>
                <w:color w:val="auto"/>
              </w:rPr>
            </w:pPr>
            <w:r>
              <w:rPr>
                <w:rFonts w:ascii="Arial" w:cs="Arial" w:eastAsia="Arial" w:hAnsi="Arial"/>
                <w:sz w:val="10"/>
                <w:szCs w:val="10"/>
                <w:color w:val="auto"/>
              </w:rPr>
              <w:t>Health and Welfare Benefit</w:t>
            </w:r>
          </w:p>
        </w:tc>
        <w:tc>
          <w:tcPr>
            <w:tcW w:w="11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31"/>
              <w:spacing w:after="0"/>
              <w:rPr>
                <w:sz w:val="20"/>
                <w:szCs w:val="20"/>
                <w:color w:val="auto"/>
              </w:rPr>
            </w:pPr>
            <w:r>
              <w:rPr>
                <w:rFonts w:ascii="Arial" w:cs="Arial" w:eastAsia="Arial" w:hAnsi="Arial"/>
                <w:sz w:val="10"/>
                <w:szCs w:val="10"/>
                <w:color w:val="auto"/>
              </w:rPr>
              <w:t>$11,175</w:t>
            </w:r>
          </w:p>
        </w:tc>
        <w:tc>
          <w:tcPr>
            <w:tcW w:w="7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r>
      <w:tr>
        <w:trPr>
          <w:trHeight w:val="219"/>
        </w:trPr>
        <w:tc>
          <w:tcPr>
            <w:tcW w:w="920" w:type="dxa"/>
            <w:vAlign w:val="bottom"/>
          </w:tcPr>
          <w:p>
            <w:pPr>
              <w:spacing w:after="0"/>
              <w:rPr>
                <w:sz w:val="20"/>
                <w:szCs w:val="20"/>
                <w:color w:val="auto"/>
              </w:rPr>
            </w:pPr>
            <w:r>
              <w:rPr>
                <w:rFonts w:ascii="Arial" w:cs="Arial" w:eastAsia="Arial" w:hAnsi="Arial"/>
                <w:sz w:val="10"/>
                <w:szCs w:val="10"/>
                <w:color w:val="auto"/>
              </w:rPr>
              <w:t>Stephen J. Morriss</w:t>
            </w:r>
          </w:p>
        </w:tc>
        <w:tc>
          <w:tcPr>
            <w:tcW w:w="1840" w:type="dxa"/>
            <w:vAlign w:val="bottom"/>
            <w:gridSpan w:val="2"/>
          </w:tcPr>
          <w:p>
            <w:pPr>
              <w:ind w:left="120"/>
              <w:spacing w:after="0"/>
              <w:rPr>
                <w:sz w:val="20"/>
                <w:szCs w:val="20"/>
                <w:color w:val="auto"/>
              </w:rPr>
            </w:pPr>
            <w:r>
              <w:rPr>
                <w:rFonts w:ascii="Arial" w:cs="Arial" w:eastAsia="Arial" w:hAnsi="Arial"/>
                <w:sz w:val="10"/>
                <w:szCs w:val="10"/>
                <w:color w:val="auto"/>
              </w:rPr>
              <w:t>Long-Term Incentive(2)</w:t>
            </w:r>
          </w:p>
        </w:tc>
        <w:tc>
          <w:tcPr>
            <w:tcW w:w="11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31"/>
              <w:spacing w:after="0"/>
              <w:rPr>
                <w:sz w:val="20"/>
                <w:szCs w:val="20"/>
                <w:color w:val="auto"/>
              </w:rPr>
            </w:pPr>
            <w:r>
              <w:rPr>
                <w:rFonts w:ascii="Arial" w:cs="Arial" w:eastAsia="Arial" w:hAnsi="Arial"/>
                <w:sz w:val="10"/>
                <w:szCs w:val="10"/>
                <w:color w:val="auto"/>
              </w:rPr>
              <w:t>$1,190,766</w:t>
            </w:r>
          </w:p>
        </w:tc>
        <w:tc>
          <w:tcPr>
            <w:tcW w:w="7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r>
      <w:tr>
        <w:trPr>
          <w:trHeight w:val="146"/>
        </w:trPr>
        <w:tc>
          <w:tcPr>
            <w:tcW w:w="920" w:type="dxa"/>
            <w:vAlign w:val="bottom"/>
          </w:tcPr>
          <w:p>
            <w:pPr>
              <w:spacing w:after="0"/>
              <w:rPr>
                <w:sz w:val="12"/>
                <w:szCs w:val="12"/>
                <w:color w:val="auto"/>
              </w:rPr>
            </w:pPr>
          </w:p>
        </w:tc>
        <w:tc>
          <w:tcPr>
            <w:tcW w:w="1840" w:type="dxa"/>
            <w:vAlign w:val="bottom"/>
            <w:gridSpan w:val="2"/>
          </w:tcPr>
          <w:p>
            <w:pPr>
              <w:ind w:left="120"/>
              <w:spacing w:after="0"/>
              <w:rPr>
                <w:sz w:val="20"/>
                <w:szCs w:val="20"/>
                <w:color w:val="auto"/>
              </w:rPr>
            </w:pPr>
            <w:r>
              <w:rPr>
                <w:rFonts w:ascii="Arial" w:cs="Arial" w:eastAsia="Arial" w:hAnsi="Arial"/>
                <w:sz w:val="10"/>
                <w:szCs w:val="10"/>
                <w:color w:val="auto"/>
              </w:rPr>
              <w:t>Severance Payment</w:t>
            </w:r>
          </w:p>
        </w:tc>
        <w:tc>
          <w:tcPr>
            <w:tcW w:w="11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31"/>
              <w:spacing w:after="0"/>
              <w:rPr>
                <w:sz w:val="20"/>
                <w:szCs w:val="20"/>
                <w:color w:val="auto"/>
              </w:rPr>
            </w:pPr>
            <w:r>
              <w:rPr>
                <w:rFonts w:ascii="Arial" w:cs="Arial" w:eastAsia="Arial" w:hAnsi="Arial"/>
                <w:sz w:val="10"/>
                <w:szCs w:val="10"/>
                <w:color w:val="auto"/>
              </w:rPr>
              <w:t>$1,367,650</w:t>
            </w:r>
          </w:p>
        </w:tc>
        <w:tc>
          <w:tcPr>
            <w:tcW w:w="7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r>
      <w:tr>
        <w:trPr>
          <w:trHeight w:val="146"/>
        </w:trPr>
        <w:tc>
          <w:tcPr>
            <w:tcW w:w="920" w:type="dxa"/>
            <w:vAlign w:val="bottom"/>
          </w:tcPr>
          <w:p>
            <w:pPr>
              <w:spacing w:after="0"/>
              <w:rPr>
                <w:sz w:val="12"/>
                <w:szCs w:val="12"/>
                <w:color w:val="auto"/>
              </w:rPr>
            </w:pPr>
          </w:p>
        </w:tc>
        <w:tc>
          <w:tcPr>
            <w:tcW w:w="1840" w:type="dxa"/>
            <w:vAlign w:val="bottom"/>
            <w:gridSpan w:val="2"/>
          </w:tcPr>
          <w:p>
            <w:pPr>
              <w:ind w:left="120"/>
              <w:spacing w:after="0"/>
              <w:rPr>
                <w:sz w:val="20"/>
                <w:szCs w:val="20"/>
                <w:color w:val="auto"/>
              </w:rPr>
            </w:pPr>
            <w:r>
              <w:rPr>
                <w:rFonts w:ascii="Arial" w:cs="Arial" w:eastAsia="Arial" w:hAnsi="Arial"/>
                <w:sz w:val="10"/>
                <w:szCs w:val="10"/>
                <w:color w:val="auto"/>
              </w:rPr>
              <w:t>Health and Welfare Benefit</w:t>
            </w:r>
          </w:p>
        </w:tc>
        <w:tc>
          <w:tcPr>
            <w:tcW w:w="11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31"/>
              <w:spacing w:after="0"/>
              <w:rPr>
                <w:sz w:val="20"/>
                <w:szCs w:val="20"/>
                <w:color w:val="auto"/>
              </w:rPr>
            </w:pPr>
            <w:r>
              <w:rPr>
                <w:rFonts w:ascii="Arial" w:cs="Arial" w:eastAsia="Arial" w:hAnsi="Arial"/>
                <w:sz w:val="10"/>
                <w:szCs w:val="10"/>
                <w:color w:val="auto"/>
              </w:rPr>
              <w:t>$11,709</w:t>
            </w:r>
          </w:p>
        </w:tc>
        <w:tc>
          <w:tcPr>
            <w:tcW w:w="7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r>
      <w:tr>
        <w:trPr>
          <w:trHeight w:val="219"/>
        </w:trPr>
        <w:tc>
          <w:tcPr>
            <w:tcW w:w="920" w:type="dxa"/>
            <w:vAlign w:val="bottom"/>
          </w:tcPr>
          <w:p>
            <w:pPr>
              <w:spacing w:after="0"/>
              <w:rPr>
                <w:sz w:val="20"/>
                <w:szCs w:val="20"/>
                <w:color w:val="auto"/>
              </w:rPr>
            </w:pPr>
            <w:r>
              <w:rPr>
                <w:rFonts w:ascii="Arial" w:cs="Arial" w:eastAsia="Arial" w:hAnsi="Arial"/>
                <w:sz w:val="10"/>
                <w:szCs w:val="10"/>
                <w:color w:val="auto"/>
              </w:rPr>
              <w:t>Michael S. Burke</w:t>
            </w:r>
          </w:p>
        </w:tc>
        <w:tc>
          <w:tcPr>
            <w:tcW w:w="1840" w:type="dxa"/>
            <w:vAlign w:val="bottom"/>
            <w:gridSpan w:val="2"/>
          </w:tcPr>
          <w:p>
            <w:pPr>
              <w:ind w:left="120"/>
              <w:spacing w:after="0"/>
              <w:rPr>
                <w:sz w:val="20"/>
                <w:szCs w:val="20"/>
                <w:color w:val="auto"/>
              </w:rPr>
            </w:pPr>
            <w:r>
              <w:rPr>
                <w:rFonts w:ascii="Arial" w:cs="Arial" w:eastAsia="Arial" w:hAnsi="Arial"/>
                <w:sz w:val="10"/>
                <w:szCs w:val="10"/>
                <w:color w:val="auto"/>
              </w:rPr>
              <w:t>Long-Term Incentive(3)</w:t>
            </w:r>
          </w:p>
        </w:tc>
        <w:tc>
          <w:tcPr>
            <w:tcW w:w="11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31"/>
              <w:spacing w:after="0"/>
              <w:rPr>
                <w:sz w:val="20"/>
                <w:szCs w:val="20"/>
                <w:color w:val="auto"/>
              </w:rPr>
            </w:pPr>
            <w:r>
              <w:rPr>
                <w:rFonts w:ascii="Arial" w:cs="Arial" w:eastAsia="Arial" w:hAnsi="Arial"/>
                <w:sz w:val="10"/>
                <w:szCs w:val="10"/>
                <w:color w:val="auto"/>
              </w:rPr>
              <w:t>$30,972,028</w:t>
            </w:r>
          </w:p>
        </w:tc>
        <w:tc>
          <w:tcPr>
            <w:tcW w:w="7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r>
      <w:tr>
        <w:trPr>
          <w:trHeight w:val="146"/>
        </w:trPr>
        <w:tc>
          <w:tcPr>
            <w:tcW w:w="920" w:type="dxa"/>
            <w:vAlign w:val="bottom"/>
          </w:tcPr>
          <w:p>
            <w:pPr>
              <w:spacing w:after="0"/>
              <w:rPr>
                <w:sz w:val="12"/>
                <w:szCs w:val="12"/>
                <w:color w:val="auto"/>
              </w:rPr>
            </w:pPr>
          </w:p>
        </w:tc>
        <w:tc>
          <w:tcPr>
            <w:tcW w:w="1840" w:type="dxa"/>
            <w:vAlign w:val="bottom"/>
            <w:gridSpan w:val="2"/>
          </w:tcPr>
          <w:p>
            <w:pPr>
              <w:ind w:left="120"/>
              <w:spacing w:after="0"/>
              <w:rPr>
                <w:sz w:val="20"/>
                <w:szCs w:val="20"/>
                <w:color w:val="auto"/>
              </w:rPr>
            </w:pPr>
            <w:r>
              <w:rPr>
                <w:rFonts w:ascii="Arial" w:cs="Arial" w:eastAsia="Arial" w:hAnsi="Arial"/>
                <w:sz w:val="10"/>
                <w:szCs w:val="10"/>
                <w:color w:val="auto"/>
              </w:rPr>
              <w:t>Severance Payment</w:t>
            </w:r>
          </w:p>
        </w:tc>
        <w:tc>
          <w:tcPr>
            <w:tcW w:w="11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31"/>
              <w:spacing w:after="0"/>
              <w:rPr>
                <w:sz w:val="20"/>
                <w:szCs w:val="20"/>
                <w:color w:val="auto"/>
              </w:rPr>
            </w:pPr>
            <w:r>
              <w:rPr>
                <w:rFonts w:ascii="Arial" w:cs="Arial" w:eastAsia="Arial" w:hAnsi="Arial"/>
                <w:sz w:val="10"/>
                <w:szCs w:val="10"/>
                <w:color w:val="auto"/>
              </w:rPr>
              <w:t>$8,895,210</w:t>
            </w:r>
          </w:p>
        </w:tc>
        <w:tc>
          <w:tcPr>
            <w:tcW w:w="7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r>
      <w:tr>
        <w:trPr>
          <w:trHeight w:val="146"/>
        </w:trPr>
        <w:tc>
          <w:tcPr>
            <w:tcW w:w="920" w:type="dxa"/>
            <w:vAlign w:val="bottom"/>
          </w:tcPr>
          <w:p>
            <w:pPr>
              <w:spacing w:after="0"/>
              <w:rPr>
                <w:sz w:val="12"/>
                <w:szCs w:val="12"/>
                <w:color w:val="auto"/>
              </w:rPr>
            </w:pPr>
          </w:p>
        </w:tc>
        <w:tc>
          <w:tcPr>
            <w:tcW w:w="1840" w:type="dxa"/>
            <w:vAlign w:val="bottom"/>
            <w:gridSpan w:val="2"/>
          </w:tcPr>
          <w:p>
            <w:pPr>
              <w:ind w:left="120"/>
              <w:spacing w:after="0"/>
              <w:rPr>
                <w:sz w:val="20"/>
                <w:szCs w:val="20"/>
                <w:color w:val="auto"/>
              </w:rPr>
            </w:pPr>
            <w:r>
              <w:rPr>
                <w:rFonts w:ascii="Arial" w:cs="Arial" w:eastAsia="Arial" w:hAnsi="Arial"/>
                <w:sz w:val="10"/>
                <w:szCs w:val="10"/>
                <w:color w:val="auto"/>
              </w:rPr>
              <w:t>Health and Welfare Benefit(4)</w:t>
            </w:r>
          </w:p>
        </w:tc>
        <w:tc>
          <w:tcPr>
            <w:tcW w:w="11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31"/>
              <w:spacing w:after="0"/>
              <w:rPr>
                <w:sz w:val="20"/>
                <w:szCs w:val="20"/>
                <w:color w:val="auto"/>
              </w:rPr>
            </w:pPr>
            <w:r>
              <w:rPr>
                <w:rFonts w:ascii="Arial" w:cs="Arial" w:eastAsia="Arial" w:hAnsi="Arial"/>
                <w:sz w:val="10"/>
                <w:szCs w:val="10"/>
                <w:color w:val="auto"/>
              </w:rPr>
              <w:t>$817,905</w:t>
            </w:r>
          </w:p>
        </w:tc>
        <w:tc>
          <w:tcPr>
            <w:tcW w:w="7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r>
      <w:tr>
        <w:trPr>
          <w:trHeight w:val="61"/>
        </w:trPr>
        <w:tc>
          <w:tcPr>
            <w:tcW w:w="9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r>
    </w:tbl>
    <w:p>
      <w:pPr>
        <w:spacing w:after="0" w:line="134" w:lineRule="exact"/>
        <w:rPr>
          <w:sz w:val="20"/>
          <w:szCs w:val="20"/>
          <w:color w:val="auto"/>
        </w:rPr>
      </w:pPr>
    </w:p>
    <w:p>
      <w:pPr>
        <w:jc w:val="both"/>
        <w:ind w:left="1480" w:hanging="357"/>
        <w:spacing w:after="0" w:line="250" w:lineRule="auto"/>
        <w:tabs>
          <w:tab w:leader="none" w:pos="1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Under the Change in Control Severance Policy in the event that any benefit payable constitutes a "parachute payment" within the meaning of Internal Revenue Code Section 280G and would be subject to excise tax imposed by Section 4999 of the Internal Revenue Code, then payments shall be provided either in full or reduced to an amount in which no portion of the benefits would be subject to excise tax, whichever provides the greatest after-tax benefit to the executive. The amounts in the table represent the benefits without consideration of reduction to avoid excise tax and based on assumption of a double-trigger event.</w:t>
      </w:r>
    </w:p>
    <w:p>
      <w:pPr>
        <w:spacing w:after="0" w:line="117" w:lineRule="exact"/>
        <w:rPr>
          <w:rFonts w:ascii="Arial" w:cs="Arial" w:eastAsia="Arial" w:hAnsi="Arial"/>
          <w:sz w:val="12"/>
          <w:szCs w:val="12"/>
          <w:color w:val="auto"/>
        </w:rPr>
      </w:pPr>
    </w:p>
    <w:p>
      <w:pPr>
        <w:ind w:left="1480" w:hanging="357"/>
        <w:spacing w:after="0"/>
        <w:tabs>
          <w:tab w:leader="none" w:pos="1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All calculations in this row are based on the AECOM common stock closing price as of September 30, 2020, which was $41.84 per share.</w:t>
      </w:r>
    </w:p>
    <w:p>
      <w:pPr>
        <w:spacing w:after="0" w:line="135" w:lineRule="exact"/>
        <w:rPr>
          <w:rFonts w:ascii="Arial" w:cs="Arial" w:eastAsia="Arial" w:hAnsi="Arial"/>
          <w:sz w:val="12"/>
          <w:szCs w:val="12"/>
          <w:color w:val="auto"/>
        </w:rPr>
      </w:pPr>
    </w:p>
    <w:p>
      <w:pPr>
        <w:jc w:val="both"/>
        <w:ind w:left="1480" w:hanging="357"/>
        <w:spacing w:after="0" w:line="250" w:lineRule="auto"/>
        <w:tabs>
          <w:tab w:leader="none" w:pos="1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All calculations for RSU awards in this row are based on a $27.93 AECOM common stock closing price as of March 17, 2020, the date such awards were actually accelerated and paid following Mr. Burke's original scheduled separation date from the Company. All calculations for PEP awards in this row are otherwise based on the AECOM common stock closing price as of September 30, 2020, which was $41.84 per share, because these awards remained outstanding following Mr. Burke's separation from the Company, still subject to Company performance vesting conditions for periods after Fiscal Year 2020.</w:t>
      </w:r>
    </w:p>
    <w:p>
      <w:pPr>
        <w:spacing w:after="0" w:line="108" w:lineRule="exact"/>
        <w:rPr>
          <w:rFonts w:ascii="Arial" w:cs="Arial" w:eastAsia="Arial" w:hAnsi="Arial"/>
          <w:sz w:val="12"/>
          <w:szCs w:val="12"/>
          <w:color w:val="auto"/>
        </w:rPr>
      </w:pPr>
    </w:p>
    <w:p>
      <w:pPr>
        <w:ind w:left="1480" w:hanging="357"/>
        <w:spacing w:after="0"/>
        <w:tabs>
          <w:tab w:leader="none" w:pos="1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Reflects the Present Value of Accumulated Benefits as calculated by a third party actuarial &amp; valuation specialist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4" w:name="page95"/>
    <w:bookmarkEnd w:id="94"/>
    <w:p>
      <w:pPr>
        <w:ind w:left="7"/>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ind w:left="7"/>
        <w:spacing w:after="0"/>
        <w:rPr>
          <w:sz w:val="20"/>
          <w:szCs w:val="20"/>
          <w:color w:val="auto"/>
        </w:rPr>
      </w:pPr>
      <w:r>
        <w:rPr>
          <w:rFonts w:ascii="Arial" w:cs="Arial" w:eastAsia="Arial" w:hAnsi="Arial"/>
          <w:sz w:val="29"/>
          <w:szCs w:val="29"/>
          <w:b w:val="1"/>
          <w:bCs w:val="1"/>
          <w:color w:val="00B2E5"/>
        </w:rPr>
        <w:t>CEO PAY RATIO</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00B2E5"/>
        </w:rPr>
        <w:t>Pay Ratio</w:t>
      </w:r>
    </w:p>
    <w:p>
      <w:pPr>
        <w:spacing w:after="0" w:line="147" w:lineRule="exact"/>
        <w:rPr>
          <w:sz w:val="20"/>
          <w:szCs w:val="20"/>
          <w:color w:val="auto"/>
        </w:rPr>
      </w:pPr>
    </w:p>
    <w:p>
      <w:pPr>
        <w:jc w:val="both"/>
        <w:ind w:left="7"/>
        <w:spacing w:after="0" w:line="274" w:lineRule="auto"/>
        <w:rPr>
          <w:sz w:val="20"/>
          <w:szCs w:val="20"/>
          <w:color w:val="auto"/>
        </w:rPr>
      </w:pPr>
      <w:r>
        <w:rPr>
          <w:rFonts w:ascii="Arial" w:cs="Arial" w:eastAsia="Arial" w:hAnsi="Arial"/>
          <w:sz w:val="12"/>
          <w:szCs w:val="12"/>
          <w:color w:val="auto"/>
        </w:rPr>
        <w:t>Pursuant to Section 953(b) of the Dodd-Frank Wall Street Reform and Consumer Protection Act, below we provide disclosure of the ratio of our CEO's annual total compensation to that of our median compensated employee.</w:t>
      </w:r>
    </w:p>
    <w:p>
      <w:pPr>
        <w:spacing w:after="0" w:line="135" w:lineRule="exact"/>
        <w:rPr>
          <w:sz w:val="20"/>
          <w:szCs w:val="20"/>
          <w:color w:val="auto"/>
        </w:rPr>
      </w:pPr>
    </w:p>
    <w:tbl>
      <w:tblPr>
        <w:tblLayout w:type="fixed"/>
        <w:tblInd w:w="2277" w:type="dxa"/>
        <w:tblCellMar>
          <w:top w:w="0" w:type="dxa"/>
          <w:left w:w="0" w:type="dxa"/>
          <w:bottom w:w="0" w:type="dxa"/>
          <w:right w:w="0" w:type="dxa"/>
        </w:tblCellMar>
      </w:tblPr>
      <w:tr>
        <w:trPr>
          <w:trHeight w:val="118"/>
        </w:trPr>
        <w:tc>
          <w:tcPr>
            <w:tcW w:w="4640" w:type="dxa"/>
            <w:vAlign w:val="bottom"/>
            <w:tcBorders>
              <w:bottom w:val="single" w:sz="8" w:color="00B2E5"/>
            </w:tcBorders>
          </w:tcPr>
          <w:p>
            <w:pPr>
              <w:spacing w:after="0"/>
              <w:rPr>
                <w:sz w:val="10"/>
                <w:szCs w:val="10"/>
                <w:color w:val="auto"/>
              </w:rPr>
            </w:pPr>
          </w:p>
        </w:tc>
        <w:tc>
          <w:tcPr>
            <w:tcW w:w="2140" w:type="dxa"/>
            <w:vAlign w:val="bottom"/>
            <w:tcBorders>
              <w:bottom w:val="single" w:sz="8" w:color="00B2E5"/>
            </w:tcBorders>
          </w:tcPr>
          <w:p>
            <w:pPr>
              <w:jc w:val="right"/>
              <w:ind w:right="291"/>
              <w:spacing w:after="0"/>
              <w:rPr>
                <w:sz w:val="20"/>
                <w:szCs w:val="20"/>
                <w:color w:val="auto"/>
              </w:rPr>
            </w:pPr>
            <w:r>
              <w:rPr>
                <w:rFonts w:ascii="Arial" w:cs="Arial" w:eastAsia="Arial" w:hAnsi="Arial"/>
                <w:sz w:val="10"/>
                <w:szCs w:val="10"/>
                <w:b w:val="1"/>
                <w:bCs w:val="1"/>
                <w:color w:val="auto"/>
              </w:rPr>
              <w:t>Total Compensation</w:t>
            </w:r>
          </w:p>
        </w:tc>
      </w:tr>
      <w:tr>
        <w:trPr>
          <w:trHeight w:val="134"/>
        </w:trPr>
        <w:tc>
          <w:tcPr>
            <w:tcW w:w="4640" w:type="dxa"/>
            <w:vAlign w:val="bottom"/>
          </w:tcPr>
          <w:p>
            <w:pPr>
              <w:jc w:val="center"/>
              <w:ind w:left="751"/>
              <w:spacing w:after="0"/>
              <w:rPr>
                <w:sz w:val="20"/>
                <w:szCs w:val="20"/>
                <w:color w:val="auto"/>
              </w:rPr>
            </w:pPr>
            <w:r>
              <w:rPr>
                <w:rFonts w:ascii="Arial" w:cs="Arial" w:eastAsia="Arial" w:hAnsi="Arial"/>
                <w:sz w:val="10"/>
                <w:szCs w:val="10"/>
                <w:b w:val="1"/>
                <w:bCs w:val="1"/>
                <w:color w:val="auto"/>
                <w:w w:val="96"/>
              </w:rPr>
              <w:t xml:space="preserve">CEO </w:t>
            </w:r>
            <w:r>
              <w:rPr>
                <w:rFonts w:ascii="Arial" w:cs="Arial" w:eastAsia="Arial" w:hAnsi="Arial"/>
                <w:sz w:val="10"/>
                <w:szCs w:val="10"/>
                <w:color w:val="auto"/>
                <w:w w:val="96"/>
              </w:rPr>
              <w:t>(combined total for Mr. Rudd and Mr. Burke)</w:t>
            </w:r>
          </w:p>
        </w:tc>
        <w:tc>
          <w:tcPr>
            <w:tcW w:w="2140" w:type="dxa"/>
            <w:vAlign w:val="bottom"/>
          </w:tcPr>
          <w:p>
            <w:pPr>
              <w:jc w:val="right"/>
              <w:ind w:right="131"/>
              <w:spacing w:after="0"/>
              <w:rPr>
                <w:sz w:val="20"/>
                <w:szCs w:val="20"/>
                <w:color w:val="auto"/>
              </w:rPr>
            </w:pPr>
            <w:r>
              <w:rPr>
                <w:rFonts w:ascii="Arial" w:cs="Arial" w:eastAsia="Arial" w:hAnsi="Arial"/>
                <w:sz w:val="10"/>
                <w:szCs w:val="10"/>
                <w:color w:val="auto"/>
              </w:rPr>
              <w:t>$22,661,131</w:t>
            </w:r>
          </w:p>
        </w:tc>
      </w:tr>
      <w:tr>
        <w:trPr>
          <w:trHeight w:val="274"/>
        </w:trPr>
        <w:tc>
          <w:tcPr>
            <w:tcW w:w="4640" w:type="dxa"/>
            <w:vAlign w:val="bottom"/>
            <w:tcBorders>
              <w:bottom w:val="single" w:sz="8" w:color="00B2E5"/>
            </w:tcBorders>
          </w:tcPr>
          <w:p>
            <w:pPr>
              <w:jc w:val="center"/>
              <w:ind w:left="731"/>
              <w:spacing w:after="0"/>
              <w:rPr>
                <w:sz w:val="20"/>
                <w:szCs w:val="20"/>
                <w:color w:val="auto"/>
              </w:rPr>
            </w:pPr>
            <w:r>
              <w:rPr>
                <w:rFonts w:ascii="Arial" w:cs="Arial" w:eastAsia="Arial" w:hAnsi="Arial"/>
                <w:sz w:val="10"/>
                <w:szCs w:val="10"/>
                <w:b w:val="1"/>
                <w:bCs w:val="1"/>
                <w:color w:val="auto"/>
                <w:w w:val="97"/>
              </w:rPr>
              <w:t>Median Employee</w:t>
            </w:r>
          </w:p>
        </w:tc>
        <w:tc>
          <w:tcPr>
            <w:tcW w:w="2140" w:type="dxa"/>
            <w:vAlign w:val="bottom"/>
            <w:tcBorders>
              <w:bottom w:val="single" w:sz="8" w:color="00B2E5"/>
            </w:tcBorders>
          </w:tcPr>
          <w:p>
            <w:pPr>
              <w:jc w:val="right"/>
              <w:ind w:right="131"/>
              <w:spacing w:after="0"/>
              <w:rPr>
                <w:sz w:val="20"/>
                <w:szCs w:val="20"/>
                <w:color w:val="auto"/>
              </w:rPr>
            </w:pPr>
            <w:r>
              <w:rPr>
                <w:rFonts w:ascii="Arial" w:cs="Arial" w:eastAsia="Arial" w:hAnsi="Arial"/>
                <w:sz w:val="10"/>
                <w:szCs w:val="10"/>
                <w:color w:val="auto"/>
              </w:rPr>
              <w:t>$67,221</w:t>
            </w:r>
          </w:p>
        </w:tc>
      </w:tr>
      <w:tr>
        <w:trPr>
          <w:trHeight w:val="98"/>
        </w:trPr>
        <w:tc>
          <w:tcPr>
            <w:tcW w:w="4640" w:type="dxa"/>
            <w:vAlign w:val="bottom"/>
            <w:tcBorders>
              <w:left w:val="single" w:sz="8" w:color="00B2E5"/>
              <w:bottom w:val="single" w:sz="8" w:color="00B2E5"/>
            </w:tcBorders>
            <w:shd w:val="clear" w:color="auto" w:fill="C2E4F8"/>
          </w:tcPr>
          <w:p>
            <w:pPr>
              <w:jc w:val="center"/>
              <w:ind w:left="751"/>
              <w:spacing w:after="0" w:line="99" w:lineRule="exact"/>
              <w:rPr>
                <w:sz w:val="20"/>
                <w:szCs w:val="20"/>
                <w:color w:val="auto"/>
              </w:rPr>
            </w:pPr>
            <w:r>
              <w:rPr>
                <w:rFonts w:ascii="Arial" w:cs="Arial" w:eastAsia="Arial" w:hAnsi="Arial"/>
                <w:sz w:val="10"/>
                <w:szCs w:val="10"/>
                <w:b w:val="1"/>
                <w:bCs w:val="1"/>
                <w:color w:val="auto"/>
                <w:w w:val="95"/>
              </w:rPr>
              <w:t>Ratio</w:t>
            </w:r>
          </w:p>
        </w:tc>
        <w:tc>
          <w:tcPr>
            <w:tcW w:w="2140" w:type="dxa"/>
            <w:vAlign w:val="bottom"/>
            <w:tcBorders>
              <w:bottom w:val="single" w:sz="8" w:color="00B2E5"/>
              <w:right w:val="single" w:sz="8" w:color="00B2E5"/>
            </w:tcBorders>
            <w:shd w:val="clear" w:color="auto" w:fill="C2E4F8"/>
          </w:tcPr>
          <w:p>
            <w:pPr>
              <w:jc w:val="right"/>
              <w:ind w:right="131"/>
              <w:spacing w:after="0" w:line="99" w:lineRule="exact"/>
              <w:rPr>
                <w:sz w:val="20"/>
                <w:szCs w:val="20"/>
                <w:color w:val="auto"/>
              </w:rPr>
            </w:pPr>
            <w:r>
              <w:rPr>
                <w:rFonts w:ascii="Arial" w:cs="Arial" w:eastAsia="Arial" w:hAnsi="Arial"/>
                <w:sz w:val="10"/>
                <w:szCs w:val="10"/>
                <w:b w:val="1"/>
                <w:bCs w:val="1"/>
                <w:color w:val="auto"/>
              </w:rPr>
              <w:t>337.1</w:t>
            </w:r>
          </w:p>
        </w:tc>
      </w:tr>
    </w:tbl>
    <w:p>
      <w:pPr>
        <w:spacing w:after="0" w:line="13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00B2E5"/>
        </w:rPr>
        <w:t>CEO Pay</w:t>
      </w:r>
    </w:p>
    <w:p>
      <w:pPr>
        <w:spacing w:after="0" w:line="147" w:lineRule="exact"/>
        <w:rPr>
          <w:sz w:val="20"/>
          <w:szCs w:val="20"/>
          <w:color w:val="auto"/>
        </w:rPr>
      </w:pPr>
    </w:p>
    <w:p>
      <w:pPr>
        <w:jc w:val="both"/>
        <w:ind w:left="7"/>
        <w:spacing w:after="0" w:line="250" w:lineRule="auto"/>
        <w:rPr>
          <w:sz w:val="20"/>
          <w:szCs w:val="20"/>
          <w:color w:val="auto"/>
        </w:rPr>
      </w:pPr>
      <w:r>
        <w:rPr>
          <w:rFonts w:ascii="Arial" w:cs="Arial" w:eastAsia="Arial" w:hAnsi="Arial"/>
          <w:sz w:val="12"/>
          <w:szCs w:val="12"/>
          <w:color w:val="auto"/>
        </w:rPr>
        <w:t>The CEO pay ratio above for Fiscal Year 2020 is not representative of future years. The CEO pay reflects the combined total compensation paid to Mr. Rudd and Mr. Burke in Fiscal Year 2020 for their time served as CEO. For Mr. Burke, this reflects his total pay (including his severance and benefits payable upon his termination) as reported in the Summary Compensation Table. For Mr. Rudd, this reflects the portion of his base salary actually received on and after his promotion to CEO on August 15, 2020, a pro-rata of his Fiscal Year 2020 annual bonus, all of his equity awards granted upon his promotion, a pro-rata of his non-qualified deferred compensation earnings, and the portion of his All Other Compensation attributable to his time as CEO.</w:t>
      </w:r>
    </w:p>
    <w:p>
      <w:pPr>
        <w:spacing w:after="0" w:line="118" w:lineRule="exact"/>
        <w:rPr>
          <w:sz w:val="20"/>
          <w:szCs w:val="20"/>
          <w:color w:val="auto"/>
        </w:rPr>
      </w:pPr>
    </w:p>
    <w:p>
      <w:pPr>
        <w:jc w:val="both"/>
        <w:ind w:left="7"/>
        <w:spacing w:after="0" w:line="274" w:lineRule="auto"/>
        <w:rPr>
          <w:sz w:val="20"/>
          <w:szCs w:val="20"/>
          <w:color w:val="auto"/>
        </w:rPr>
      </w:pPr>
      <w:r>
        <w:rPr>
          <w:rFonts w:ascii="Arial" w:cs="Arial" w:eastAsia="Arial" w:hAnsi="Arial"/>
          <w:sz w:val="12"/>
          <w:szCs w:val="12"/>
          <w:color w:val="auto"/>
        </w:rPr>
        <w:t>The CEO pay ratio below, however, is a better representation of future fiscal years as it reflects Mr. Rudd's total target pay package as CEO and excludes the severance and other benefits payable upon Mr. Burke's termination from the Company:</w:t>
      </w:r>
    </w:p>
    <w:p>
      <w:pPr>
        <w:spacing w:after="0" w:line="135" w:lineRule="exact"/>
        <w:rPr>
          <w:sz w:val="20"/>
          <w:szCs w:val="20"/>
          <w:color w:val="auto"/>
        </w:rPr>
      </w:pPr>
    </w:p>
    <w:tbl>
      <w:tblPr>
        <w:tblLayout w:type="fixed"/>
        <w:tblInd w:w="2277" w:type="dxa"/>
        <w:tblCellMar>
          <w:top w:w="0" w:type="dxa"/>
          <w:left w:w="0" w:type="dxa"/>
          <w:bottom w:w="0" w:type="dxa"/>
          <w:right w:w="0" w:type="dxa"/>
        </w:tblCellMar>
      </w:tblPr>
      <w:tr>
        <w:trPr>
          <w:trHeight w:val="118"/>
        </w:trPr>
        <w:tc>
          <w:tcPr>
            <w:tcW w:w="4440" w:type="dxa"/>
            <w:vAlign w:val="bottom"/>
            <w:tcBorders>
              <w:bottom w:val="single" w:sz="8" w:color="00B2E5"/>
            </w:tcBorders>
          </w:tcPr>
          <w:p>
            <w:pPr>
              <w:spacing w:after="0"/>
              <w:rPr>
                <w:sz w:val="10"/>
                <w:szCs w:val="10"/>
                <w:color w:val="auto"/>
              </w:rPr>
            </w:pPr>
          </w:p>
        </w:tc>
        <w:tc>
          <w:tcPr>
            <w:tcW w:w="2340" w:type="dxa"/>
            <w:vAlign w:val="bottom"/>
            <w:tcBorders>
              <w:bottom w:val="single" w:sz="8" w:color="00B2E5"/>
            </w:tcBorders>
          </w:tcPr>
          <w:p>
            <w:pPr>
              <w:jc w:val="right"/>
              <w:ind w:right="291"/>
              <w:spacing w:after="0"/>
              <w:rPr>
                <w:sz w:val="20"/>
                <w:szCs w:val="20"/>
                <w:color w:val="auto"/>
              </w:rPr>
            </w:pPr>
            <w:r>
              <w:rPr>
                <w:rFonts w:ascii="Arial" w:cs="Arial" w:eastAsia="Arial" w:hAnsi="Arial"/>
                <w:sz w:val="10"/>
                <w:szCs w:val="10"/>
                <w:b w:val="1"/>
                <w:bCs w:val="1"/>
                <w:color w:val="auto"/>
              </w:rPr>
              <w:t>Total Compensation</w:t>
            </w:r>
          </w:p>
        </w:tc>
      </w:tr>
      <w:tr>
        <w:trPr>
          <w:trHeight w:val="134"/>
        </w:trPr>
        <w:tc>
          <w:tcPr>
            <w:tcW w:w="4440" w:type="dxa"/>
            <w:vAlign w:val="bottom"/>
          </w:tcPr>
          <w:p>
            <w:pPr>
              <w:jc w:val="center"/>
              <w:ind w:left="951"/>
              <w:spacing w:after="0"/>
              <w:rPr>
                <w:sz w:val="20"/>
                <w:szCs w:val="20"/>
                <w:color w:val="auto"/>
              </w:rPr>
            </w:pPr>
            <w:r>
              <w:rPr>
                <w:rFonts w:ascii="Arial" w:cs="Arial" w:eastAsia="Arial" w:hAnsi="Arial"/>
                <w:sz w:val="10"/>
                <w:szCs w:val="10"/>
                <w:b w:val="1"/>
                <w:bCs w:val="1"/>
                <w:color w:val="auto"/>
                <w:w w:val="94"/>
              </w:rPr>
              <w:t xml:space="preserve">CEO </w:t>
            </w:r>
            <w:r>
              <w:rPr>
                <w:rFonts w:ascii="Arial" w:cs="Arial" w:eastAsia="Arial" w:hAnsi="Arial"/>
                <w:sz w:val="10"/>
                <w:szCs w:val="10"/>
                <w:color w:val="auto"/>
                <w:w w:val="94"/>
              </w:rPr>
              <w:t>(Target Total Annual Pay)</w:t>
            </w:r>
          </w:p>
        </w:tc>
        <w:tc>
          <w:tcPr>
            <w:tcW w:w="2340" w:type="dxa"/>
            <w:vAlign w:val="bottom"/>
          </w:tcPr>
          <w:p>
            <w:pPr>
              <w:jc w:val="right"/>
              <w:ind w:right="131"/>
              <w:spacing w:after="0"/>
              <w:rPr>
                <w:sz w:val="20"/>
                <w:szCs w:val="20"/>
                <w:color w:val="auto"/>
              </w:rPr>
            </w:pPr>
            <w:r>
              <w:rPr>
                <w:rFonts w:ascii="Arial" w:cs="Arial" w:eastAsia="Arial" w:hAnsi="Arial"/>
                <w:sz w:val="10"/>
                <w:szCs w:val="10"/>
                <w:color w:val="auto"/>
              </w:rPr>
              <w:t>$7,000,000</w:t>
            </w:r>
          </w:p>
        </w:tc>
      </w:tr>
      <w:tr>
        <w:trPr>
          <w:trHeight w:val="274"/>
        </w:trPr>
        <w:tc>
          <w:tcPr>
            <w:tcW w:w="4440" w:type="dxa"/>
            <w:vAlign w:val="bottom"/>
            <w:tcBorders>
              <w:bottom w:val="single" w:sz="8" w:color="00B2E5"/>
            </w:tcBorders>
          </w:tcPr>
          <w:p>
            <w:pPr>
              <w:jc w:val="center"/>
              <w:ind w:left="931"/>
              <w:spacing w:after="0"/>
              <w:rPr>
                <w:sz w:val="20"/>
                <w:szCs w:val="20"/>
                <w:color w:val="auto"/>
              </w:rPr>
            </w:pPr>
            <w:r>
              <w:rPr>
                <w:rFonts w:ascii="Arial" w:cs="Arial" w:eastAsia="Arial" w:hAnsi="Arial"/>
                <w:sz w:val="10"/>
                <w:szCs w:val="10"/>
                <w:b w:val="1"/>
                <w:bCs w:val="1"/>
                <w:color w:val="auto"/>
                <w:w w:val="97"/>
              </w:rPr>
              <w:t>Median Employee</w:t>
            </w:r>
          </w:p>
        </w:tc>
        <w:tc>
          <w:tcPr>
            <w:tcW w:w="2340" w:type="dxa"/>
            <w:vAlign w:val="bottom"/>
            <w:tcBorders>
              <w:bottom w:val="single" w:sz="8" w:color="00B2E5"/>
            </w:tcBorders>
          </w:tcPr>
          <w:p>
            <w:pPr>
              <w:jc w:val="right"/>
              <w:ind w:right="131"/>
              <w:spacing w:after="0"/>
              <w:rPr>
                <w:sz w:val="20"/>
                <w:szCs w:val="20"/>
                <w:color w:val="auto"/>
              </w:rPr>
            </w:pPr>
            <w:r>
              <w:rPr>
                <w:rFonts w:ascii="Arial" w:cs="Arial" w:eastAsia="Arial" w:hAnsi="Arial"/>
                <w:sz w:val="10"/>
                <w:szCs w:val="10"/>
                <w:color w:val="auto"/>
              </w:rPr>
              <w:t>$67,221</w:t>
            </w:r>
          </w:p>
        </w:tc>
      </w:tr>
      <w:tr>
        <w:trPr>
          <w:trHeight w:val="98"/>
        </w:trPr>
        <w:tc>
          <w:tcPr>
            <w:tcW w:w="4440" w:type="dxa"/>
            <w:vAlign w:val="bottom"/>
            <w:tcBorders>
              <w:left w:val="single" w:sz="8" w:color="00B2E5"/>
              <w:bottom w:val="single" w:sz="8" w:color="00B2E5"/>
            </w:tcBorders>
            <w:shd w:val="clear" w:color="auto" w:fill="C2E4F8"/>
          </w:tcPr>
          <w:p>
            <w:pPr>
              <w:jc w:val="center"/>
              <w:ind w:left="951"/>
              <w:spacing w:after="0" w:line="99" w:lineRule="exact"/>
              <w:rPr>
                <w:sz w:val="20"/>
                <w:szCs w:val="20"/>
                <w:color w:val="auto"/>
              </w:rPr>
            </w:pPr>
            <w:r>
              <w:rPr>
                <w:rFonts w:ascii="Arial" w:cs="Arial" w:eastAsia="Arial" w:hAnsi="Arial"/>
                <w:sz w:val="10"/>
                <w:szCs w:val="10"/>
                <w:b w:val="1"/>
                <w:bCs w:val="1"/>
                <w:color w:val="auto"/>
                <w:w w:val="95"/>
              </w:rPr>
              <w:t>Ratio</w:t>
            </w:r>
          </w:p>
        </w:tc>
        <w:tc>
          <w:tcPr>
            <w:tcW w:w="2340" w:type="dxa"/>
            <w:vAlign w:val="bottom"/>
            <w:tcBorders>
              <w:bottom w:val="single" w:sz="8" w:color="00B2E5"/>
              <w:right w:val="single" w:sz="8" w:color="00B2E5"/>
            </w:tcBorders>
            <w:shd w:val="clear" w:color="auto" w:fill="C2E4F8"/>
          </w:tcPr>
          <w:p>
            <w:pPr>
              <w:jc w:val="right"/>
              <w:ind w:right="131"/>
              <w:spacing w:after="0" w:line="99" w:lineRule="exact"/>
              <w:rPr>
                <w:sz w:val="20"/>
                <w:szCs w:val="20"/>
                <w:color w:val="auto"/>
              </w:rPr>
            </w:pPr>
            <w:r>
              <w:rPr>
                <w:rFonts w:ascii="Arial" w:cs="Arial" w:eastAsia="Arial" w:hAnsi="Arial"/>
                <w:sz w:val="10"/>
                <w:szCs w:val="10"/>
                <w:b w:val="1"/>
                <w:bCs w:val="1"/>
                <w:color w:val="auto"/>
              </w:rPr>
              <w:t>104.1</w:t>
            </w:r>
          </w:p>
        </w:tc>
      </w:tr>
    </w:tbl>
    <w:p>
      <w:pPr>
        <w:spacing w:after="0" w:line="13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00B2E5"/>
        </w:rPr>
        <w:t>Global Employee Data Set</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2"/>
          <w:szCs w:val="12"/>
          <w:color w:val="auto"/>
        </w:rPr>
        <w:t>To derive our global employee data set, we employed the following methodology and assumptions:</w:t>
      </w:r>
    </w:p>
    <w:p>
      <w:pPr>
        <w:spacing w:after="0" w:line="145" w:lineRule="exact"/>
        <w:rPr>
          <w:sz w:val="20"/>
          <w:szCs w:val="20"/>
          <w:color w:val="auto"/>
        </w:rPr>
      </w:pPr>
    </w:p>
    <w:p>
      <w:pPr>
        <w:ind w:left="367" w:hanging="367"/>
        <w:spacing w:after="0"/>
        <w:tabs>
          <w:tab w:leader="none" w:pos="367" w:val="left"/>
        </w:tabs>
        <w:numPr>
          <w:ilvl w:val="0"/>
          <w:numId w:val="64"/>
        </w:numPr>
        <w:rPr>
          <w:rFonts w:ascii="Arial" w:cs="Arial" w:eastAsia="Arial" w:hAnsi="Arial"/>
          <w:sz w:val="12"/>
          <w:szCs w:val="12"/>
          <w:color w:val="auto"/>
        </w:rPr>
      </w:pPr>
      <w:r>
        <w:rPr>
          <w:rFonts w:ascii="Arial" w:cs="Arial" w:eastAsia="Arial" w:hAnsi="Arial"/>
          <w:sz w:val="12"/>
          <w:szCs w:val="12"/>
          <w:u w:val="single" w:color="auto"/>
          <w:color w:val="auto"/>
        </w:rPr>
        <w:t>Data Source:</w:t>
      </w:r>
      <w:r>
        <w:rPr>
          <w:rFonts w:ascii="Arial" w:cs="Arial" w:eastAsia="Arial" w:hAnsi="Arial"/>
          <w:sz w:val="12"/>
          <w:szCs w:val="12"/>
          <w:color w:val="auto"/>
        </w:rPr>
        <w:t xml:space="preserve"> We used our global human resource system of record to aggregate employee information from our various systems worldwide.</w:t>
      </w:r>
    </w:p>
    <w:p>
      <w:pPr>
        <w:spacing w:after="0" w:line="144" w:lineRule="exact"/>
        <w:rPr>
          <w:rFonts w:ascii="Arial" w:cs="Arial" w:eastAsia="Arial" w:hAnsi="Arial"/>
          <w:sz w:val="12"/>
          <w:szCs w:val="12"/>
          <w:color w:val="auto"/>
        </w:rPr>
      </w:pPr>
    </w:p>
    <w:p>
      <w:pPr>
        <w:ind w:left="367" w:hanging="367"/>
        <w:spacing w:after="0"/>
        <w:tabs>
          <w:tab w:leader="none" w:pos="367" w:val="left"/>
        </w:tabs>
        <w:numPr>
          <w:ilvl w:val="0"/>
          <w:numId w:val="64"/>
        </w:numPr>
        <w:rPr>
          <w:rFonts w:ascii="Arial" w:cs="Arial" w:eastAsia="Arial" w:hAnsi="Arial"/>
          <w:sz w:val="12"/>
          <w:szCs w:val="12"/>
          <w:color w:val="auto"/>
        </w:rPr>
      </w:pPr>
      <w:r>
        <w:rPr>
          <w:rFonts w:ascii="Arial" w:cs="Arial" w:eastAsia="Arial" w:hAnsi="Arial"/>
          <w:sz w:val="12"/>
          <w:szCs w:val="12"/>
          <w:u w:val="single" w:color="auto"/>
          <w:color w:val="auto"/>
        </w:rPr>
        <w:t>Determination Date:</w:t>
      </w:r>
      <w:r>
        <w:rPr>
          <w:rFonts w:ascii="Arial" w:cs="Arial" w:eastAsia="Arial" w:hAnsi="Arial"/>
          <w:sz w:val="12"/>
          <w:szCs w:val="12"/>
          <w:color w:val="auto"/>
        </w:rPr>
        <w:t xml:space="preserve"> We selected Monday, August 31, 2020, which falls within the last three months of our most recently completed fiscal year, as the determination date for identifying our median employee.</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00B2E5"/>
        </w:rPr>
        <w:t>Consistently Applied Compensation Measure &amp; Selection of Median Employee</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2"/>
          <w:szCs w:val="12"/>
          <w:color w:val="auto"/>
        </w:rPr>
        <w:t>To determine our median compensated employee, we used a Consistently Applied Compensation Measure (CACM). As our CACM, we used Annual Base Compensation, defined as base salary rate taking into</w:t>
      </w:r>
    </w:p>
    <w:p>
      <w:pPr>
        <w:ind w:left="7"/>
        <w:spacing w:after="0" w:line="194" w:lineRule="auto"/>
        <w:rPr>
          <w:sz w:val="20"/>
          <w:szCs w:val="20"/>
          <w:color w:val="auto"/>
        </w:rPr>
      </w:pPr>
      <w:r>
        <w:rPr>
          <w:rFonts w:ascii="Arial" w:cs="Arial" w:eastAsia="Arial" w:hAnsi="Arial"/>
          <w:sz w:val="12"/>
          <w:szCs w:val="12"/>
          <w:color w:val="auto"/>
        </w:rPr>
        <w:t>account the employee's full-time or part-time status and the employee's scheduled hours of employment, plus any guaranteed 13</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or 14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month period pay, as of the Determination Date. We exchanged non-U.S.</w:t>
      </w:r>
    </w:p>
    <w:p>
      <w:pPr>
        <w:ind w:left="7"/>
        <w:spacing w:after="0"/>
        <w:rPr>
          <w:sz w:val="20"/>
          <w:szCs w:val="20"/>
          <w:color w:val="auto"/>
        </w:rPr>
      </w:pPr>
      <w:r>
        <w:rPr>
          <w:rFonts w:ascii="Arial" w:cs="Arial" w:eastAsia="Arial" w:hAnsi="Arial"/>
          <w:sz w:val="12"/>
          <w:szCs w:val="12"/>
          <w:color w:val="auto"/>
        </w:rPr>
        <w:t>compensation to US dollars applying the same fixed annual exchange rate used in our filed periodic reports.</w:t>
      </w:r>
    </w:p>
    <w:p>
      <w:pPr>
        <w:spacing w:after="0" w:line="131" w:lineRule="exact"/>
        <w:rPr>
          <w:sz w:val="20"/>
          <w:szCs w:val="20"/>
          <w:color w:val="auto"/>
        </w:rPr>
      </w:pPr>
    </w:p>
    <w:p>
      <w:pPr>
        <w:jc w:val="both"/>
        <w:ind w:left="7"/>
        <w:spacing w:after="0" w:line="250" w:lineRule="auto"/>
        <w:rPr>
          <w:sz w:val="20"/>
          <w:szCs w:val="20"/>
          <w:color w:val="auto"/>
        </w:rPr>
      </w:pPr>
      <w:r>
        <w:rPr>
          <w:rFonts w:ascii="Arial" w:cs="Arial" w:eastAsia="Arial" w:hAnsi="Arial"/>
          <w:sz w:val="12"/>
          <w:szCs w:val="12"/>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1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83755" cy="184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95" w:name="page96"/>
    <w:bookmarkEnd w:id="95"/>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DIRECTORS' COMPENSATION</w:t>
      </w:r>
    </w:p>
    <w:p>
      <w:pPr>
        <w:spacing w:after="0" w:line="177" w:lineRule="exact"/>
        <w:rPr>
          <w:sz w:val="20"/>
          <w:szCs w:val="20"/>
          <w:color w:val="auto"/>
        </w:rPr>
      </w:pPr>
    </w:p>
    <w:p>
      <w:pPr>
        <w:spacing w:after="0" w:line="321" w:lineRule="auto"/>
        <w:rPr>
          <w:sz w:val="20"/>
          <w:szCs w:val="20"/>
          <w:color w:val="auto"/>
        </w:rPr>
      </w:pPr>
      <w:r>
        <w:rPr>
          <w:rFonts w:ascii="Arial" w:cs="Arial" w:eastAsia="Arial" w:hAnsi="Arial"/>
          <w:sz w:val="11"/>
          <w:szCs w:val="11"/>
          <w:color w:val="auto"/>
        </w:rPr>
        <w:t>The following table sets forth information with respect to the compensation that certain members of the AECOM Board received in fiscal year 2020. Mr. Burke did not receive separate compensation for Board member activities. Generally, the annual aggregate dollar value of equity-based and cash compensation granted under our 2020 Stock Incentive Plan or otherwise to any non-employee director may not exceed $600,000.</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color w:val="auto"/>
        </w:rPr>
        <w:t>All non-employee directors are paid a retainer of $100,000 per year. In addition, these non-employee directors receive the following retainers for their service on the Board:</w:t>
      </w:r>
    </w:p>
    <w:p>
      <w:pPr>
        <w:spacing w:after="0" w:line="145" w:lineRule="exact"/>
        <w:rPr>
          <w:sz w:val="20"/>
          <w:szCs w:val="20"/>
          <w:color w:val="auto"/>
        </w:rPr>
      </w:pPr>
    </w:p>
    <w:p>
      <w:pPr>
        <w:ind w:left="720" w:hanging="362"/>
        <w:spacing w:after="0"/>
        <w:tabs>
          <w:tab w:leader="none" w:pos="720" w:val="left"/>
        </w:tabs>
        <w:numPr>
          <w:ilvl w:val="0"/>
          <w:numId w:val="65"/>
        </w:numPr>
        <w:rPr>
          <w:rFonts w:ascii="Arial" w:cs="Arial" w:eastAsia="Arial" w:hAnsi="Arial"/>
          <w:sz w:val="11"/>
          <w:szCs w:val="11"/>
          <w:color w:val="auto"/>
        </w:rPr>
      </w:pPr>
      <w:r>
        <w:rPr>
          <w:rFonts w:ascii="Arial" w:cs="Arial" w:eastAsia="Arial" w:hAnsi="Arial"/>
          <w:sz w:val="11"/>
          <w:szCs w:val="11"/>
          <w:color w:val="auto"/>
        </w:rPr>
        <w:t>Chairman of the Board — Annual retainer of $150,000 (approved November 2020 by the Board, retroactive to Fiscal Year 2020; for Fiscal Year 2020, the annual retainer for Lead Director was $35,000)</w:t>
      </w:r>
    </w:p>
    <w:p>
      <w:pPr>
        <w:spacing w:after="0" w:line="156" w:lineRule="exact"/>
        <w:rPr>
          <w:rFonts w:ascii="Arial" w:cs="Arial" w:eastAsia="Arial" w:hAnsi="Arial"/>
          <w:sz w:val="11"/>
          <w:szCs w:val="11"/>
          <w:color w:val="auto"/>
        </w:rPr>
      </w:pPr>
    </w:p>
    <w:p>
      <w:pPr>
        <w:ind w:left="720" w:hanging="362"/>
        <w:spacing w:after="0"/>
        <w:tabs>
          <w:tab w:leader="none" w:pos="7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Chair of the Audit Committee — Annual retainer of $25,000</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Chair of the Compensation Committee — Annual retainer of $25,000</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Chair of the Other Committees — Annual retainer of $20,000</w:t>
      </w:r>
    </w:p>
    <w:p>
      <w:pPr>
        <w:spacing w:after="0" w:line="144" w:lineRule="exact"/>
        <w:rPr>
          <w:rFonts w:ascii="Arial" w:cs="Arial" w:eastAsia="Arial" w:hAnsi="Arial"/>
          <w:sz w:val="12"/>
          <w:szCs w:val="12"/>
          <w:color w:val="auto"/>
        </w:rPr>
      </w:pPr>
    </w:p>
    <w:p>
      <w:pPr>
        <w:ind w:left="720" w:hanging="362"/>
        <w:spacing w:after="0"/>
        <w:tabs>
          <w:tab w:leader="none" w:pos="7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Members of the Audit Committee — Annual retainer of $12,000</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Members of the Other Committees — Annual retainer of $9,500</w:t>
      </w:r>
    </w:p>
    <w:p>
      <w:pPr>
        <w:spacing w:after="0" w:line="135" w:lineRule="exact"/>
        <w:rPr>
          <w:rFonts w:ascii="Arial" w:cs="Arial" w:eastAsia="Arial" w:hAnsi="Arial"/>
          <w:sz w:val="12"/>
          <w:szCs w:val="12"/>
          <w:color w:val="auto"/>
        </w:rPr>
      </w:pPr>
    </w:p>
    <w:p>
      <w:pPr>
        <w:ind w:left="720" w:right="20" w:hanging="362"/>
        <w:spacing w:after="0" w:line="274" w:lineRule="auto"/>
        <w:tabs>
          <w:tab w:leader="none" w:pos="7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Board/Committee Meeting Fees — $1,500 or $1,000 for each meeting attended in-person or by telephone, respectively, is paid when the number of meetings during the year has exceeded five (5) for the Board or each Committee</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Each non-employee director also receives a $1,000 fee per day, plus reimbursement for travel for attendance at other qualifying Board-related functions in his or her capacity as a Director.</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Each non-employee director receives an annual long-term equity award of $160,000 composed 100% of time-vested restricted stock units. Each non-employee director who joins our Board receives an annual long-term equity award pro-rated for the number of quarters he or she serves. In November 2019, Exequity presented a report to the Compensation Committee concluding that the total compensation for non-employee directors approximated the median of our compensation peer group and the broader market (S&amp;P 500).</w:t>
      </w:r>
    </w:p>
    <w:p>
      <w:pPr>
        <w:spacing w:after="0" w:line="112"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20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60" w:type="dxa"/>
            <w:vAlign w:val="bottom"/>
          </w:tcPr>
          <w:p>
            <w:pPr>
              <w:jc w:val="right"/>
              <w:ind w:right="391"/>
              <w:spacing w:after="0"/>
              <w:rPr>
                <w:sz w:val="20"/>
                <w:szCs w:val="20"/>
                <w:color w:val="auto"/>
              </w:rPr>
            </w:pPr>
            <w:r>
              <w:rPr>
                <w:rFonts w:ascii="Arial" w:cs="Arial" w:eastAsia="Arial" w:hAnsi="Arial"/>
                <w:sz w:val="10"/>
                <w:szCs w:val="10"/>
                <w:b w:val="1"/>
                <w:bCs w:val="1"/>
                <w:color w:val="auto"/>
              </w:rPr>
              <w:t>Nonqualified</w:t>
            </w:r>
          </w:p>
        </w:tc>
        <w:tc>
          <w:tcPr>
            <w:tcW w:w="1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09"/>
        </w:trPr>
        <w:tc>
          <w:tcPr>
            <w:tcW w:w="20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560" w:type="dxa"/>
            <w:vAlign w:val="bottom"/>
          </w:tcPr>
          <w:p>
            <w:pPr>
              <w:jc w:val="right"/>
              <w:ind w:right="391"/>
              <w:spacing w:after="0" w:line="110" w:lineRule="exact"/>
              <w:rPr>
                <w:sz w:val="20"/>
                <w:szCs w:val="20"/>
                <w:color w:val="auto"/>
              </w:rPr>
            </w:pPr>
            <w:r>
              <w:rPr>
                <w:rFonts w:ascii="Arial" w:cs="Arial" w:eastAsia="Arial" w:hAnsi="Arial"/>
                <w:sz w:val="10"/>
                <w:szCs w:val="10"/>
                <w:b w:val="1"/>
                <w:bCs w:val="1"/>
                <w:color w:val="auto"/>
              </w:rPr>
              <w:t>Deferred</w:t>
            </w:r>
          </w:p>
        </w:tc>
        <w:tc>
          <w:tcPr>
            <w:tcW w:w="1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9"/>
        </w:trPr>
        <w:tc>
          <w:tcPr>
            <w:tcW w:w="20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920" w:type="dxa"/>
            <w:vAlign w:val="bottom"/>
          </w:tcPr>
          <w:p>
            <w:pPr>
              <w:jc w:val="right"/>
              <w:ind w:right="411"/>
              <w:spacing w:after="0" w:line="110" w:lineRule="exact"/>
              <w:rPr>
                <w:sz w:val="20"/>
                <w:szCs w:val="20"/>
                <w:color w:val="auto"/>
              </w:rPr>
            </w:pPr>
            <w:r>
              <w:rPr>
                <w:rFonts w:ascii="Arial" w:cs="Arial" w:eastAsia="Arial" w:hAnsi="Arial"/>
                <w:sz w:val="10"/>
                <w:szCs w:val="10"/>
                <w:b w:val="1"/>
                <w:bCs w:val="1"/>
                <w:color w:val="auto"/>
              </w:rPr>
              <w:t>Stock</w:t>
            </w:r>
          </w:p>
        </w:tc>
        <w:tc>
          <w:tcPr>
            <w:tcW w:w="1560" w:type="dxa"/>
            <w:vAlign w:val="bottom"/>
          </w:tcPr>
          <w:p>
            <w:pPr>
              <w:jc w:val="right"/>
              <w:ind w:right="391"/>
              <w:spacing w:after="0" w:line="110" w:lineRule="exact"/>
              <w:rPr>
                <w:sz w:val="20"/>
                <w:szCs w:val="20"/>
                <w:color w:val="auto"/>
              </w:rPr>
            </w:pPr>
            <w:r>
              <w:rPr>
                <w:rFonts w:ascii="Arial" w:cs="Arial" w:eastAsia="Arial" w:hAnsi="Arial"/>
                <w:sz w:val="10"/>
                <w:szCs w:val="10"/>
                <w:b w:val="1"/>
                <w:bCs w:val="1"/>
                <w:color w:val="auto"/>
              </w:rPr>
              <w:t>Compensation</w:t>
            </w:r>
          </w:p>
        </w:tc>
        <w:tc>
          <w:tcPr>
            <w:tcW w:w="1180" w:type="dxa"/>
            <w:vAlign w:val="bottom"/>
          </w:tcPr>
          <w:p>
            <w:pPr>
              <w:jc w:val="right"/>
              <w:ind w:right="11"/>
              <w:spacing w:after="0" w:line="110" w:lineRule="exact"/>
              <w:rPr>
                <w:sz w:val="20"/>
                <w:szCs w:val="20"/>
                <w:color w:val="auto"/>
              </w:rPr>
            </w:pPr>
            <w:r>
              <w:rPr>
                <w:rFonts w:ascii="Arial" w:cs="Arial" w:eastAsia="Arial" w:hAnsi="Arial"/>
                <w:sz w:val="10"/>
                <w:szCs w:val="10"/>
                <w:b w:val="1"/>
                <w:bCs w:val="1"/>
                <w:color w:val="auto"/>
              </w:rPr>
              <w:t>All Other</w:t>
            </w: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9"/>
        </w:trPr>
        <w:tc>
          <w:tcPr>
            <w:tcW w:w="2060" w:type="dxa"/>
            <w:vAlign w:val="bottom"/>
          </w:tcPr>
          <w:p>
            <w:pPr>
              <w:spacing w:after="0"/>
              <w:rPr>
                <w:sz w:val="9"/>
                <w:szCs w:val="9"/>
                <w:color w:val="auto"/>
              </w:rPr>
            </w:pPr>
          </w:p>
        </w:tc>
        <w:tc>
          <w:tcPr>
            <w:tcW w:w="2780" w:type="dxa"/>
            <w:vAlign w:val="bottom"/>
          </w:tcPr>
          <w:p>
            <w:pPr>
              <w:jc w:val="right"/>
              <w:ind w:right="11"/>
              <w:spacing w:after="0" w:line="110" w:lineRule="exact"/>
              <w:rPr>
                <w:sz w:val="20"/>
                <w:szCs w:val="20"/>
                <w:color w:val="auto"/>
              </w:rPr>
            </w:pPr>
            <w:r>
              <w:rPr>
                <w:rFonts w:ascii="Arial" w:cs="Arial" w:eastAsia="Arial" w:hAnsi="Arial"/>
                <w:sz w:val="10"/>
                <w:szCs w:val="10"/>
                <w:b w:val="1"/>
                <w:bCs w:val="1"/>
                <w:color w:val="auto"/>
              </w:rPr>
              <w:t>Fees Earned or</w:t>
            </w:r>
          </w:p>
        </w:tc>
        <w:tc>
          <w:tcPr>
            <w:tcW w:w="920" w:type="dxa"/>
            <w:vAlign w:val="bottom"/>
          </w:tcPr>
          <w:p>
            <w:pPr>
              <w:jc w:val="right"/>
              <w:ind w:right="411"/>
              <w:spacing w:after="0" w:line="110" w:lineRule="exact"/>
              <w:rPr>
                <w:sz w:val="20"/>
                <w:szCs w:val="20"/>
                <w:color w:val="auto"/>
              </w:rPr>
            </w:pPr>
            <w:r>
              <w:rPr>
                <w:rFonts w:ascii="Arial" w:cs="Arial" w:eastAsia="Arial" w:hAnsi="Arial"/>
                <w:sz w:val="10"/>
                <w:szCs w:val="10"/>
                <w:b w:val="1"/>
                <w:bCs w:val="1"/>
                <w:color w:val="auto"/>
              </w:rPr>
              <w:t>Awards</w:t>
            </w:r>
          </w:p>
        </w:tc>
        <w:tc>
          <w:tcPr>
            <w:tcW w:w="1560" w:type="dxa"/>
            <w:vAlign w:val="bottom"/>
          </w:tcPr>
          <w:p>
            <w:pPr>
              <w:jc w:val="right"/>
              <w:ind w:right="391"/>
              <w:spacing w:after="0" w:line="110" w:lineRule="exact"/>
              <w:rPr>
                <w:sz w:val="20"/>
                <w:szCs w:val="20"/>
                <w:color w:val="auto"/>
              </w:rPr>
            </w:pPr>
            <w:r>
              <w:rPr>
                <w:rFonts w:ascii="Arial" w:cs="Arial" w:eastAsia="Arial" w:hAnsi="Arial"/>
                <w:sz w:val="10"/>
                <w:szCs w:val="10"/>
                <w:b w:val="1"/>
                <w:bCs w:val="1"/>
                <w:color w:val="auto"/>
              </w:rPr>
              <w:t>Earnings</w:t>
            </w:r>
          </w:p>
        </w:tc>
        <w:tc>
          <w:tcPr>
            <w:tcW w:w="1180" w:type="dxa"/>
            <w:vAlign w:val="bottom"/>
          </w:tcPr>
          <w:p>
            <w:pPr>
              <w:jc w:val="right"/>
              <w:ind w:right="11"/>
              <w:spacing w:after="0" w:line="110" w:lineRule="exact"/>
              <w:rPr>
                <w:sz w:val="20"/>
                <w:szCs w:val="20"/>
                <w:color w:val="auto"/>
              </w:rPr>
            </w:pPr>
            <w:r>
              <w:rPr>
                <w:rFonts w:ascii="Arial" w:cs="Arial" w:eastAsia="Arial" w:hAnsi="Arial"/>
                <w:sz w:val="10"/>
                <w:szCs w:val="10"/>
                <w:b w:val="1"/>
                <w:bCs w:val="1"/>
                <w:color w:val="auto"/>
              </w:rPr>
              <w:t>Compensation</w:t>
            </w: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8"/>
        </w:trPr>
        <w:tc>
          <w:tcPr>
            <w:tcW w:w="206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2780" w:type="dxa"/>
            <w:vAlign w:val="bottom"/>
          </w:tcPr>
          <w:p>
            <w:pPr>
              <w:jc w:val="right"/>
              <w:ind w:right="11"/>
              <w:spacing w:after="0"/>
              <w:rPr>
                <w:sz w:val="20"/>
                <w:szCs w:val="20"/>
                <w:color w:val="auto"/>
              </w:rPr>
            </w:pPr>
            <w:r>
              <w:rPr>
                <w:rFonts w:ascii="Arial" w:cs="Arial" w:eastAsia="Arial" w:hAnsi="Arial"/>
                <w:sz w:val="10"/>
                <w:szCs w:val="10"/>
                <w:b w:val="1"/>
                <w:bCs w:val="1"/>
                <w:color w:val="auto"/>
              </w:rPr>
              <w:t>Paid in Cash ($)(1)</w:t>
            </w:r>
          </w:p>
        </w:tc>
        <w:tc>
          <w:tcPr>
            <w:tcW w:w="920" w:type="dxa"/>
            <w:vAlign w:val="bottom"/>
          </w:tcPr>
          <w:p>
            <w:pPr>
              <w:jc w:val="right"/>
              <w:ind w:right="411"/>
              <w:spacing w:after="0"/>
              <w:rPr>
                <w:sz w:val="20"/>
                <w:szCs w:val="20"/>
                <w:color w:val="auto"/>
              </w:rPr>
            </w:pPr>
            <w:r>
              <w:rPr>
                <w:rFonts w:ascii="Arial" w:cs="Arial" w:eastAsia="Arial" w:hAnsi="Arial"/>
                <w:sz w:val="10"/>
                <w:szCs w:val="10"/>
                <w:b w:val="1"/>
                <w:bCs w:val="1"/>
                <w:color w:val="auto"/>
              </w:rPr>
              <w:t>($)(2)</w:t>
            </w:r>
          </w:p>
        </w:tc>
        <w:tc>
          <w:tcPr>
            <w:tcW w:w="1560" w:type="dxa"/>
            <w:vAlign w:val="bottom"/>
          </w:tcPr>
          <w:p>
            <w:pPr>
              <w:jc w:val="right"/>
              <w:ind w:right="391"/>
              <w:spacing w:after="0"/>
              <w:rPr>
                <w:sz w:val="20"/>
                <w:szCs w:val="20"/>
                <w:color w:val="auto"/>
              </w:rPr>
            </w:pPr>
            <w:r>
              <w:rPr>
                <w:rFonts w:ascii="Arial" w:cs="Arial" w:eastAsia="Arial" w:hAnsi="Arial"/>
                <w:sz w:val="10"/>
                <w:szCs w:val="10"/>
                <w:b w:val="1"/>
                <w:bCs w:val="1"/>
                <w:color w:val="auto"/>
              </w:rPr>
              <w:t>($)(3)</w:t>
            </w:r>
          </w:p>
        </w:tc>
        <w:tc>
          <w:tcPr>
            <w:tcW w:w="1180" w:type="dxa"/>
            <w:vAlign w:val="bottom"/>
          </w:tcPr>
          <w:p>
            <w:pPr>
              <w:jc w:val="right"/>
              <w:ind w:right="11"/>
              <w:spacing w:after="0"/>
              <w:rPr>
                <w:sz w:val="20"/>
                <w:szCs w:val="20"/>
                <w:color w:val="auto"/>
              </w:rPr>
            </w:pPr>
            <w:r>
              <w:rPr>
                <w:rFonts w:ascii="Arial" w:cs="Arial" w:eastAsia="Arial" w:hAnsi="Arial"/>
                <w:sz w:val="10"/>
                <w:szCs w:val="10"/>
                <w:b w:val="1"/>
                <w:bCs w:val="1"/>
                <w:color w:val="auto"/>
              </w:rPr>
              <w:t>($)(4)</w:t>
            </w:r>
          </w:p>
        </w:tc>
        <w:tc>
          <w:tcPr>
            <w:tcW w:w="500" w:type="dxa"/>
            <w:vAlign w:val="bottom"/>
            <w:gridSpan w:val="2"/>
          </w:tcPr>
          <w:p>
            <w:pPr>
              <w:ind w:left="100"/>
              <w:spacing w:after="0"/>
              <w:rPr>
                <w:sz w:val="20"/>
                <w:szCs w:val="20"/>
                <w:color w:val="auto"/>
              </w:rPr>
            </w:pPr>
            <w:r>
              <w:rPr>
                <w:rFonts w:ascii="Arial" w:cs="Arial" w:eastAsia="Arial" w:hAnsi="Arial"/>
                <w:sz w:val="10"/>
                <w:szCs w:val="10"/>
                <w:b w:val="1"/>
                <w:bCs w:val="1"/>
                <w:color w:val="auto"/>
              </w:rPr>
              <w:t>Total($)</w:t>
            </w:r>
          </w:p>
        </w:tc>
      </w:tr>
      <w:tr>
        <w:trPr>
          <w:trHeight w:val="99"/>
        </w:trPr>
        <w:tc>
          <w:tcPr>
            <w:tcW w:w="2060" w:type="dxa"/>
            <w:vAlign w:val="bottom"/>
            <w:tcBorders>
              <w:top w:val="single" w:sz="8" w:color="00B2E5"/>
            </w:tcBorders>
          </w:tcPr>
          <w:p>
            <w:pPr>
              <w:spacing w:after="0" w:line="99" w:lineRule="exact"/>
              <w:rPr>
                <w:sz w:val="20"/>
                <w:szCs w:val="20"/>
                <w:color w:val="auto"/>
              </w:rPr>
            </w:pPr>
            <w:r>
              <w:rPr>
                <w:rFonts w:ascii="Arial" w:cs="Arial" w:eastAsia="Arial" w:hAnsi="Arial"/>
                <w:sz w:val="10"/>
                <w:szCs w:val="10"/>
                <w:color w:val="auto"/>
              </w:rPr>
              <w:t>Bradley W. Buss</w:t>
            </w:r>
          </w:p>
        </w:tc>
        <w:tc>
          <w:tcPr>
            <w:tcW w:w="2780" w:type="dxa"/>
            <w:vAlign w:val="bottom"/>
            <w:tcBorders>
              <w:top w:val="single" w:sz="8" w:color="00B2E5"/>
            </w:tcBorders>
          </w:tcPr>
          <w:p>
            <w:pPr>
              <w:jc w:val="right"/>
              <w:ind w:right="11"/>
              <w:spacing w:after="0" w:line="99" w:lineRule="exact"/>
              <w:rPr>
                <w:sz w:val="20"/>
                <w:szCs w:val="20"/>
                <w:color w:val="auto"/>
              </w:rPr>
            </w:pPr>
            <w:r>
              <w:rPr>
                <w:rFonts w:ascii="Arial" w:cs="Arial" w:eastAsia="Arial" w:hAnsi="Arial"/>
                <w:sz w:val="10"/>
                <w:szCs w:val="10"/>
                <w:color w:val="auto"/>
              </w:rPr>
              <w:t>$15,866</w:t>
            </w:r>
          </w:p>
        </w:tc>
        <w:tc>
          <w:tcPr>
            <w:tcW w:w="920" w:type="dxa"/>
            <w:vAlign w:val="bottom"/>
            <w:tcBorders>
              <w:top w:val="single" w:sz="8" w:color="00B2E5"/>
            </w:tcBorders>
          </w:tcPr>
          <w:p>
            <w:pPr>
              <w:jc w:val="right"/>
              <w:ind w:right="411"/>
              <w:spacing w:after="0" w:line="99" w:lineRule="exact"/>
              <w:rPr>
                <w:sz w:val="20"/>
                <w:szCs w:val="20"/>
                <w:color w:val="auto"/>
              </w:rPr>
            </w:pPr>
            <w:r>
              <w:rPr>
                <w:rFonts w:ascii="Arial" w:cs="Arial" w:eastAsia="Arial" w:hAnsi="Arial"/>
                <w:sz w:val="10"/>
                <w:szCs w:val="10"/>
                <w:color w:val="auto"/>
              </w:rPr>
              <w:t>$120,016</w:t>
            </w:r>
          </w:p>
        </w:tc>
        <w:tc>
          <w:tcPr>
            <w:tcW w:w="1560" w:type="dxa"/>
            <w:vAlign w:val="bottom"/>
            <w:tcBorders>
              <w:top w:val="single" w:sz="8" w:color="00B2E5"/>
            </w:tcBorders>
          </w:tcPr>
          <w:p>
            <w:pPr>
              <w:jc w:val="right"/>
              <w:ind w:right="391"/>
              <w:spacing w:after="0" w:line="99" w:lineRule="exact"/>
              <w:rPr>
                <w:sz w:val="20"/>
                <w:szCs w:val="20"/>
                <w:color w:val="auto"/>
              </w:rPr>
            </w:pPr>
            <w:r>
              <w:rPr>
                <w:rFonts w:ascii="Arial" w:cs="Arial" w:eastAsia="Arial" w:hAnsi="Arial"/>
                <w:sz w:val="10"/>
                <w:szCs w:val="10"/>
                <w:color w:val="auto"/>
              </w:rPr>
              <w:t>$0</w:t>
            </w:r>
          </w:p>
        </w:tc>
        <w:tc>
          <w:tcPr>
            <w:tcW w:w="1180" w:type="dxa"/>
            <w:vAlign w:val="bottom"/>
            <w:tcBorders>
              <w:top w:val="single" w:sz="8" w:color="00B2E5"/>
            </w:tcBorders>
          </w:tcPr>
          <w:p>
            <w:pPr>
              <w:jc w:val="right"/>
              <w:ind w:right="11"/>
              <w:spacing w:after="0" w:line="99" w:lineRule="exact"/>
              <w:rPr>
                <w:sz w:val="20"/>
                <w:szCs w:val="20"/>
                <w:color w:val="auto"/>
              </w:rPr>
            </w:pPr>
            <w:r>
              <w:rPr>
                <w:rFonts w:ascii="Arial" w:cs="Arial" w:eastAsia="Arial" w:hAnsi="Arial"/>
                <w:sz w:val="10"/>
                <w:szCs w:val="10"/>
                <w:color w:val="auto"/>
              </w:rPr>
              <w:t>$0</w:t>
            </w:r>
          </w:p>
        </w:tc>
        <w:tc>
          <w:tcPr>
            <w:tcW w:w="480" w:type="dxa"/>
            <w:vAlign w:val="bottom"/>
            <w:tcBorders>
              <w:top w:val="single" w:sz="8" w:color="00B2E5"/>
            </w:tcBorders>
          </w:tcPr>
          <w:p>
            <w:pPr>
              <w:jc w:val="right"/>
              <w:spacing w:after="0" w:line="99" w:lineRule="exact"/>
              <w:rPr>
                <w:sz w:val="20"/>
                <w:szCs w:val="20"/>
                <w:color w:val="auto"/>
              </w:rPr>
            </w:pPr>
            <w:r>
              <w:rPr>
                <w:rFonts w:ascii="Arial" w:cs="Arial" w:eastAsia="Arial" w:hAnsi="Arial"/>
                <w:sz w:val="10"/>
                <w:szCs w:val="10"/>
                <w:color w:val="auto"/>
              </w:rPr>
              <w:t>$135,882</w:t>
            </w:r>
          </w:p>
        </w:tc>
        <w:tc>
          <w:tcPr>
            <w:tcW w:w="20" w:type="dxa"/>
            <w:vAlign w:val="bottom"/>
          </w:tcPr>
          <w:p>
            <w:pPr>
              <w:spacing w:after="0"/>
              <w:rPr>
                <w:sz w:val="8"/>
                <w:szCs w:val="8"/>
                <w:color w:val="auto"/>
              </w:rPr>
            </w:pPr>
          </w:p>
        </w:tc>
      </w:tr>
      <w:tr>
        <w:trPr>
          <w:trHeight w:val="109"/>
        </w:trPr>
        <w:tc>
          <w:tcPr>
            <w:tcW w:w="2060" w:type="dxa"/>
            <w:vAlign w:val="bottom"/>
          </w:tcPr>
          <w:p>
            <w:pPr>
              <w:spacing w:after="0" w:line="110" w:lineRule="exact"/>
              <w:rPr>
                <w:sz w:val="20"/>
                <w:szCs w:val="20"/>
                <w:color w:val="auto"/>
              </w:rPr>
            </w:pPr>
            <w:r>
              <w:rPr>
                <w:rFonts w:ascii="Arial" w:cs="Arial" w:eastAsia="Arial" w:hAnsi="Arial"/>
                <w:sz w:val="10"/>
                <w:szCs w:val="10"/>
                <w:color w:val="auto"/>
              </w:rPr>
              <w:t>Robert G. Card</w:t>
            </w:r>
          </w:p>
        </w:tc>
        <w:tc>
          <w:tcPr>
            <w:tcW w:w="27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$99,767</w:t>
            </w:r>
          </w:p>
        </w:tc>
        <w:tc>
          <w:tcPr>
            <w:tcW w:w="920" w:type="dxa"/>
            <w:vAlign w:val="bottom"/>
          </w:tcPr>
          <w:p>
            <w:pPr>
              <w:jc w:val="right"/>
              <w:ind w:right="411"/>
              <w:spacing w:after="0" w:line="110" w:lineRule="exact"/>
              <w:rPr>
                <w:sz w:val="20"/>
                <w:szCs w:val="20"/>
                <w:color w:val="auto"/>
              </w:rPr>
            </w:pPr>
            <w:r>
              <w:rPr>
                <w:rFonts w:ascii="Arial" w:cs="Arial" w:eastAsia="Arial" w:hAnsi="Arial"/>
                <w:sz w:val="10"/>
                <w:szCs w:val="10"/>
                <w:color w:val="auto"/>
              </w:rPr>
              <w:t>$160,014</w:t>
            </w:r>
          </w:p>
        </w:tc>
        <w:tc>
          <w:tcPr>
            <w:tcW w:w="1560" w:type="dxa"/>
            <w:vAlign w:val="bottom"/>
          </w:tcPr>
          <w:p>
            <w:pPr>
              <w:jc w:val="right"/>
              <w:ind w:right="391"/>
              <w:spacing w:after="0" w:line="110" w:lineRule="exact"/>
              <w:rPr>
                <w:sz w:val="20"/>
                <w:szCs w:val="20"/>
                <w:color w:val="auto"/>
              </w:rPr>
            </w:pPr>
            <w:r>
              <w:rPr>
                <w:rFonts w:ascii="Arial" w:cs="Arial" w:eastAsia="Arial" w:hAnsi="Arial"/>
                <w:sz w:val="10"/>
                <w:szCs w:val="10"/>
                <w:color w:val="auto"/>
              </w:rPr>
              <w:t>$0</w:t>
            </w:r>
          </w:p>
        </w:tc>
        <w:tc>
          <w:tcPr>
            <w:tcW w:w="11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$0</w:t>
            </w:r>
          </w:p>
        </w:tc>
        <w:tc>
          <w:tcPr>
            <w:tcW w:w="500" w:type="dxa"/>
            <w:vAlign w:val="bottom"/>
            <w:gridSpan w:val="2"/>
          </w:tcPr>
          <w:p>
            <w:pPr>
              <w:jc w:val="right"/>
              <w:ind w:right="20"/>
              <w:spacing w:after="0" w:line="110" w:lineRule="exact"/>
              <w:rPr>
                <w:sz w:val="20"/>
                <w:szCs w:val="20"/>
                <w:color w:val="auto"/>
              </w:rPr>
            </w:pPr>
            <w:r>
              <w:rPr>
                <w:rFonts w:ascii="Arial" w:cs="Arial" w:eastAsia="Arial" w:hAnsi="Arial"/>
                <w:sz w:val="10"/>
                <w:szCs w:val="10"/>
                <w:color w:val="auto"/>
              </w:rPr>
              <w:t>$259,781</w:t>
            </w:r>
          </w:p>
        </w:tc>
      </w:tr>
      <w:tr>
        <w:trPr>
          <w:trHeight w:val="109"/>
        </w:trPr>
        <w:tc>
          <w:tcPr>
            <w:tcW w:w="2060" w:type="dxa"/>
            <w:vAlign w:val="bottom"/>
          </w:tcPr>
          <w:p>
            <w:pPr>
              <w:spacing w:after="0" w:line="110" w:lineRule="exact"/>
              <w:rPr>
                <w:sz w:val="20"/>
                <w:szCs w:val="20"/>
                <w:color w:val="auto"/>
              </w:rPr>
            </w:pPr>
            <w:r>
              <w:rPr>
                <w:rFonts w:ascii="Arial" w:cs="Arial" w:eastAsia="Arial" w:hAnsi="Arial"/>
                <w:sz w:val="10"/>
                <w:szCs w:val="10"/>
                <w:color w:val="auto"/>
              </w:rPr>
              <w:t>Peter A. Feld</w:t>
            </w:r>
          </w:p>
        </w:tc>
        <w:tc>
          <w:tcPr>
            <w:tcW w:w="27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$79,333</w:t>
            </w:r>
          </w:p>
        </w:tc>
        <w:tc>
          <w:tcPr>
            <w:tcW w:w="920" w:type="dxa"/>
            <w:vAlign w:val="bottom"/>
          </w:tcPr>
          <w:p>
            <w:pPr>
              <w:jc w:val="right"/>
              <w:ind w:right="411"/>
              <w:spacing w:after="0" w:line="110" w:lineRule="exact"/>
              <w:rPr>
                <w:sz w:val="20"/>
                <w:szCs w:val="20"/>
                <w:color w:val="auto"/>
              </w:rPr>
            </w:pPr>
            <w:r>
              <w:rPr>
                <w:rFonts w:ascii="Arial" w:cs="Arial" w:eastAsia="Arial" w:hAnsi="Arial"/>
                <w:sz w:val="10"/>
                <w:szCs w:val="10"/>
                <w:color w:val="auto"/>
              </w:rPr>
              <w:t>$0</w:t>
            </w:r>
          </w:p>
        </w:tc>
        <w:tc>
          <w:tcPr>
            <w:tcW w:w="1560" w:type="dxa"/>
            <w:vAlign w:val="bottom"/>
          </w:tcPr>
          <w:p>
            <w:pPr>
              <w:jc w:val="right"/>
              <w:ind w:right="391"/>
              <w:spacing w:after="0" w:line="110" w:lineRule="exact"/>
              <w:rPr>
                <w:sz w:val="20"/>
                <w:szCs w:val="20"/>
                <w:color w:val="auto"/>
              </w:rPr>
            </w:pPr>
            <w:r>
              <w:rPr>
                <w:rFonts w:ascii="Arial" w:cs="Arial" w:eastAsia="Arial" w:hAnsi="Arial"/>
                <w:sz w:val="10"/>
                <w:szCs w:val="10"/>
                <w:color w:val="auto"/>
              </w:rPr>
              <w:t>$411</w:t>
            </w:r>
          </w:p>
        </w:tc>
        <w:tc>
          <w:tcPr>
            <w:tcW w:w="11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$0</w:t>
            </w:r>
          </w:p>
        </w:tc>
        <w:tc>
          <w:tcPr>
            <w:tcW w:w="500" w:type="dxa"/>
            <w:vAlign w:val="bottom"/>
            <w:gridSpan w:val="2"/>
          </w:tcPr>
          <w:p>
            <w:pPr>
              <w:jc w:val="right"/>
              <w:ind w:right="20"/>
              <w:spacing w:after="0" w:line="110" w:lineRule="exact"/>
              <w:rPr>
                <w:sz w:val="20"/>
                <w:szCs w:val="20"/>
                <w:color w:val="auto"/>
              </w:rPr>
            </w:pPr>
            <w:r>
              <w:rPr>
                <w:rFonts w:ascii="Arial" w:cs="Arial" w:eastAsia="Arial" w:hAnsi="Arial"/>
                <w:sz w:val="10"/>
                <w:szCs w:val="10"/>
                <w:color w:val="auto"/>
              </w:rPr>
              <w:t>$79,744</w:t>
            </w:r>
          </w:p>
        </w:tc>
      </w:tr>
      <w:tr>
        <w:trPr>
          <w:trHeight w:val="109"/>
        </w:trPr>
        <w:tc>
          <w:tcPr>
            <w:tcW w:w="2060" w:type="dxa"/>
            <w:vAlign w:val="bottom"/>
          </w:tcPr>
          <w:p>
            <w:pPr>
              <w:spacing w:after="0" w:line="110" w:lineRule="exact"/>
              <w:rPr>
                <w:sz w:val="20"/>
                <w:szCs w:val="20"/>
                <w:color w:val="auto"/>
              </w:rPr>
            </w:pPr>
            <w:r>
              <w:rPr>
                <w:rFonts w:ascii="Arial" w:cs="Arial" w:eastAsia="Arial" w:hAnsi="Arial"/>
                <w:sz w:val="10"/>
                <w:szCs w:val="10"/>
                <w:color w:val="auto"/>
              </w:rPr>
              <w:t>James H. Fordyce</w:t>
            </w:r>
          </w:p>
        </w:tc>
        <w:tc>
          <w:tcPr>
            <w:tcW w:w="27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$42,375</w:t>
            </w:r>
          </w:p>
        </w:tc>
        <w:tc>
          <w:tcPr>
            <w:tcW w:w="920" w:type="dxa"/>
            <w:vAlign w:val="bottom"/>
          </w:tcPr>
          <w:p>
            <w:pPr>
              <w:jc w:val="right"/>
              <w:ind w:right="411"/>
              <w:spacing w:after="0" w:line="110" w:lineRule="exact"/>
              <w:rPr>
                <w:sz w:val="20"/>
                <w:szCs w:val="20"/>
                <w:color w:val="auto"/>
              </w:rPr>
            </w:pPr>
            <w:r>
              <w:rPr>
                <w:rFonts w:ascii="Arial" w:cs="Arial" w:eastAsia="Arial" w:hAnsi="Arial"/>
                <w:sz w:val="10"/>
                <w:szCs w:val="10"/>
                <w:color w:val="auto"/>
              </w:rPr>
              <w:t>$0</w:t>
            </w:r>
          </w:p>
        </w:tc>
        <w:tc>
          <w:tcPr>
            <w:tcW w:w="1560" w:type="dxa"/>
            <w:vAlign w:val="bottom"/>
          </w:tcPr>
          <w:p>
            <w:pPr>
              <w:jc w:val="right"/>
              <w:ind w:right="391"/>
              <w:spacing w:after="0" w:line="110" w:lineRule="exact"/>
              <w:rPr>
                <w:sz w:val="20"/>
                <w:szCs w:val="20"/>
                <w:color w:val="auto"/>
              </w:rPr>
            </w:pPr>
            <w:r>
              <w:rPr>
                <w:rFonts w:ascii="Arial" w:cs="Arial" w:eastAsia="Arial" w:hAnsi="Arial"/>
                <w:sz w:val="10"/>
                <w:szCs w:val="10"/>
                <w:color w:val="auto"/>
              </w:rPr>
              <w:t>$7,090</w:t>
            </w:r>
          </w:p>
        </w:tc>
        <w:tc>
          <w:tcPr>
            <w:tcW w:w="11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$0</w:t>
            </w:r>
          </w:p>
        </w:tc>
        <w:tc>
          <w:tcPr>
            <w:tcW w:w="500" w:type="dxa"/>
            <w:vAlign w:val="bottom"/>
            <w:gridSpan w:val="2"/>
          </w:tcPr>
          <w:p>
            <w:pPr>
              <w:jc w:val="right"/>
              <w:ind w:right="20"/>
              <w:spacing w:after="0" w:line="110" w:lineRule="exact"/>
              <w:rPr>
                <w:sz w:val="20"/>
                <w:szCs w:val="20"/>
                <w:color w:val="auto"/>
              </w:rPr>
            </w:pPr>
            <w:r>
              <w:rPr>
                <w:rFonts w:ascii="Arial" w:cs="Arial" w:eastAsia="Arial" w:hAnsi="Arial"/>
                <w:sz w:val="10"/>
                <w:szCs w:val="10"/>
                <w:color w:val="auto"/>
              </w:rPr>
              <w:t>$49,465</w:t>
            </w:r>
          </w:p>
        </w:tc>
      </w:tr>
      <w:tr>
        <w:trPr>
          <w:trHeight w:val="109"/>
        </w:trPr>
        <w:tc>
          <w:tcPr>
            <w:tcW w:w="2060" w:type="dxa"/>
            <w:vAlign w:val="bottom"/>
          </w:tcPr>
          <w:p>
            <w:pPr>
              <w:spacing w:after="0" w:line="110" w:lineRule="exact"/>
              <w:rPr>
                <w:sz w:val="20"/>
                <w:szCs w:val="20"/>
                <w:color w:val="auto"/>
              </w:rPr>
            </w:pPr>
            <w:r>
              <w:rPr>
                <w:rFonts w:ascii="Arial" w:cs="Arial" w:eastAsia="Arial" w:hAnsi="Arial"/>
                <w:sz w:val="10"/>
                <w:szCs w:val="10"/>
                <w:color w:val="auto"/>
              </w:rPr>
              <w:t>Senator William H. Frist</w:t>
            </w:r>
          </w:p>
        </w:tc>
        <w:tc>
          <w:tcPr>
            <w:tcW w:w="27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$60,750</w:t>
            </w:r>
          </w:p>
        </w:tc>
        <w:tc>
          <w:tcPr>
            <w:tcW w:w="920" w:type="dxa"/>
            <w:vAlign w:val="bottom"/>
          </w:tcPr>
          <w:p>
            <w:pPr>
              <w:jc w:val="right"/>
              <w:ind w:right="411"/>
              <w:spacing w:after="0" w:line="110" w:lineRule="exact"/>
              <w:rPr>
                <w:sz w:val="20"/>
                <w:szCs w:val="20"/>
                <w:color w:val="auto"/>
              </w:rPr>
            </w:pPr>
            <w:r>
              <w:rPr>
                <w:rFonts w:ascii="Arial" w:cs="Arial" w:eastAsia="Arial" w:hAnsi="Arial"/>
                <w:sz w:val="10"/>
                <w:szCs w:val="10"/>
                <w:color w:val="auto"/>
              </w:rPr>
              <w:t>$0</w:t>
            </w:r>
          </w:p>
        </w:tc>
        <w:tc>
          <w:tcPr>
            <w:tcW w:w="1560" w:type="dxa"/>
            <w:vAlign w:val="bottom"/>
          </w:tcPr>
          <w:p>
            <w:pPr>
              <w:jc w:val="right"/>
              <w:ind w:right="391"/>
              <w:spacing w:after="0" w:line="110" w:lineRule="exact"/>
              <w:rPr>
                <w:sz w:val="20"/>
                <w:szCs w:val="20"/>
                <w:color w:val="auto"/>
              </w:rPr>
            </w:pPr>
            <w:r>
              <w:rPr>
                <w:rFonts w:ascii="Arial" w:cs="Arial" w:eastAsia="Arial" w:hAnsi="Arial"/>
                <w:sz w:val="10"/>
                <w:szCs w:val="10"/>
                <w:color w:val="auto"/>
              </w:rPr>
              <w:t>$8,207</w:t>
            </w:r>
          </w:p>
        </w:tc>
        <w:tc>
          <w:tcPr>
            <w:tcW w:w="11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$0</w:t>
            </w:r>
          </w:p>
        </w:tc>
        <w:tc>
          <w:tcPr>
            <w:tcW w:w="500" w:type="dxa"/>
            <w:vAlign w:val="bottom"/>
            <w:gridSpan w:val="2"/>
          </w:tcPr>
          <w:p>
            <w:pPr>
              <w:jc w:val="right"/>
              <w:ind w:right="20"/>
              <w:spacing w:after="0" w:line="110" w:lineRule="exact"/>
              <w:rPr>
                <w:sz w:val="20"/>
                <w:szCs w:val="20"/>
                <w:color w:val="auto"/>
              </w:rPr>
            </w:pPr>
            <w:r>
              <w:rPr>
                <w:rFonts w:ascii="Arial" w:cs="Arial" w:eastAsia="Arial" w:hAnsi="Arial"/>
                <w:sz w:val="10"/>
                <w:szCs w:val="10"/>
                <w:color w:val="auto"/>
              </w:rPr>
              <w:t>$68,957</w:t>
            </w:r>
          </w:p>
        </w:tc>
      </w:tr>
      <w:tr>
        <w:trPr>
          <w:trHeight w:val="109"/>
        </w:trPr>
        <w:tc>
          <w:tcPr>
            <w:tcW w:w="2060" w:type="dxa"/>
            <w:vAlign w:val="bottom"/>
          </w:tcPr>
          <w:p>
            <w:pPr>
              <w:spacing w:after="0" w:line="110" w:lineRule="exact"/>
              <w:rPr>
                <w:sz w:val="20"/>
                <w:szCs w:val="20"/>
                <w:color w:val="auto"/>
              </w:rPr>
            </w:pPr>
            <w:r>
              <w:rPr>
                <w:rFonts w:ascii="Arial" w:cs="Arial" w:eastAsia="Arial" w:hAnsi="Arial"/>
                <w:sz w:val="10"/>
                <w:szCs w:val="10"/>
                <w:color w:val="auto"/>
              </w:rPr>
              <w:t>Linda Griego</w:t>
            </w:r>
          </w:p>
        </w:tc>
        <w:tc>
          <w:tcPr>
            <w:tcW w:w="27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$32,375</w:t>
            </w:r>
          </w:p>
        </w:tc>
        <w:tc>
          <w:tcPr>
            <w:tcW w:w="920" w:type="dxa"/>
            <w:vAlign w:val="bottom"/>
          </w:tcPr>
          <w:p>
            <w:pPr>
              <w:jc w:val="right"/>
              <w:ind w:right="411"/>
              <w:spacing w:after="0" w:line="110" w:lineRule="exact"/>
              <w:rPr>
                <w:sz w:val="20"/>
                <w:szCs w:val="20"/>
                <w:color w:val="auto"/>
              </w:rPr>
            </w:pPr>
            <w:r>
              <w:rPr>
                <w:rFonts w:ascii="Arial" w:cs="Arial" w:eastAsia="Arial" w:hAnsi="Arial"/>
                <w:sz w:val="10"/>
                <w:szCs w:val="10"/>
                <w:color w:val="auto"/>
              </w:rPr>
              <w:t>$0</w:t>
            </w:r>
          </w:p>
        </w:tc>
        <w:tc>
          <w:tcPr>
            <w:tcW w:w="1560" w:type="dxa"/>
            <w:vAlign w:val="bottom"/>
          </w:tcPr>
          <w:p>
            <w:pPr>
              <w:jc w:val="right"/>
              <w:ind w:right="391"/>
              <w:spacing w:after="0" w:line="110" w:lineRule="exact"/>
              <w:rPr>
                <w:sz w:val="20"/>
                <w:szCs w:val="20"/>
                <w:color w:val="auto"/>
              </w:rPr>
            </w:pPr>
            <w:r>
              <w:rPr>
                <w:rFonts w:ascii="Arial" w:cs="Arial" w:eastAsia="Arial" w:hAnsi="Arial"/>
                <w:sz w:val="10"/>
                <w:szCs w:val="10"/>
                <w:color w:val="auto"/>
              </w:rPr>
              <w:t>$0</w:t>
            </w:r>
          </w:p>
        </w:tc>
        <w:tc>
          <w:tcPr>
            <w:tcW w:w="11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$5,000</w:t>
            </w:r>
          </w:p>
        </w:tc>
        <w:tc>
          <w:tcPr>
            <w:tcW w:w="500" w:type="dxa"/>
            <w:vAlign w:val="bottom"/>
            <w:gridSpan w:val="2"/>
          </w:tcPr>
          <w:p>
            <w:pPr>
              <w:jc w:val="right"/>
              <w:ind w:right="20"/>
              <w:spacing w:after="0" w:line="110" w:lineRule="exact"/>
              <w:rPr>
                <w:sz w:val="20"/>
                <w:szCs w:val="20"/>
                <w:color w:val="auto"/>
              </w:rPr>
            </w:pPr>
            <w:r>
              <w:rPr>
                <w:rFonts w:ascii="Arial" w:cs="Arial" w:eastAsia="Arial" w:hAnsi="Arial"/>
                <w:sz w:val="10"/>
                <w:szCs w:val="10"/>
                <w:color w:val="auto"/>
              </w:rPr>
              <w:t>$37,375</w:t>
            </w:r>
          </w:p>
        </w:tc>
      </w:tr>
      <w:tr>
        <w:trPr>
          <w:trHeight w:val="109"/>
        </w:trPr>
        <w:tc>
          <w:tcPr>
            <w:tcW w:w="2060" w:type="dxa"/>
            <w:vAlign w:val="bottom"/>
          </w:tcPr>
          <w:p>
            <w:pPr>
              <w:spacing w:after="0" w:line="110" w:lineRule="exact"/>
              <w:rPr>
                <w:sz w:val="20"/>
                <w:szCs w:val="20"/>
                <w:color w:val="auto"/>
              </w:rPr>
            </w:pPr>
            <w:r>
              <w:rPr>
                <w:rFonts w:ascii="Arial" w:cs="Arial" w:eastAsia="Arial" w:hAnsi="Arial"/>
                <w:sz w:val="10"/>
                <w:szCs w:val="10"/>
                <w:color w:val="auto"/>
              </w:rPr>
              <w:t>Jacqueline C. Hinman</w:t>
            </w:r>
          </w:p>
        </w:tc>
        <w:tc>
          <w:tcPr>
            <w:tcW w:w="27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$89,275</w:t>
            </w:r>
          </w:p>
        </w:tc>
        <w:tc>
          <w:tcPr>
            <w:tcW w:w="920" w:type="dxa"/>
            <w:vAlign w:val="bottom"/>
          </w:tcPr>
          <w:p>
            <w:pPr>
              <w:jc w:val="right"/>
              <w:ind w:right="411"/>
              <w:spacing w:after="0" w:line="110" w:lineRule="exact"/>
              <w:rPr>
                <w:sz w:val="20"/>
                <w:szCs w:val="20"/>
                <w:color w:val="auto"/>
              </w:rPr>
            </w:pPr>
            <w:r>
              <w:rPr>
                <w:rFonts w:ascii="Arial" w:cs="Arial" w:eastAsia="Arial" w:hAnsi="Arial"/>
                <w:sz w:val="10"/>
                <w:szCs w:val="10"/>
                <w:color w:val="auto"/>
              </w:rPr>
              <w:t>$160,014</w:t>
            </w:r>
          </w:p>
        </w:tc>
        <w:tc>
          <w:tcPr>
            <w:tcW w:w="1560" w:type="dxa"/>
            <w:vAlign w:val="bottom"/>
          </w:tcPr>
          <w:p>
            <w:pPr>
              <w:jc w:val="right"/>
              <w:ind w:right="391"/>
              <w:spacing w:after="0" w:line="110" w:lineRule="exact"/>
              <w:rPr>
                <w:sz w:val="20"/>
                <w:szCs w:val="20"/>
                <w:color w:val="auto"/>
              </w:rPr>
            </w:pPr>
            <w:r>
              <w:rPr>
                <w:rFonts w:ascii="Arial" w:cs="Arial" w:eastAsia="Arial" w:hAnsi="Arial"/>
                <w:sz w:val="10"/>
                <w:szCs w:val="10"/>
                <w:color w:val="auto"/>
              </w:rPr>
              <w:t>$0</w:t>
            </w:r>
          </w:p>
        </w:tc>
        <w:tc>
          <w:tcPr>
            <w:tcW w:w="11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$0</w:t>
            </w:r>
          </w:p>
        </w:tc>
        <w:tc>
          <w:tcPr>
            <w:tcW w:w="500" w:type="dxa"/>
            <w:vAlign w:val="bottom"/>
            <w:gridSpan w:val="2"/>
          </w:tcPr>
          <w:p>
            <w:pPr>
              <w:jc w:val="right"/>
              <w:ind w:right="20"/>
              <w:spacing w:after="0" w:line="110" w:lineRule="exact"/>
              <w:rPr>
                <w:sz w:val="20"/>
                <w:szCs w:val="20"/>
                <w:color w:val="auto"/>
              </w:rPr>
            </w:pPr>
            <w:r>
              <w:rPr>
                <w:rFonts w:ascii="Arial" w:cs="Arial" w:eastAsia="Arial" w:hAnsi="Arial"/>
                <w:sz w:val="10"/>
                <w:szCs w:val="10"/>
                <w:color w:val="auto"/>
              </w:rPr>
              <w:t>$249,289</w:t>
            </w:r>
          </w:p>
        </w:tc>
      </w:tr>
      <w:tr>
        <w:trPr>
          <w:trHeight w:val="109"/>
        </w:trPr>
        <w:tc>
          <w:tcPr>
            <w:tcW w:w="2060" w:type="dxa"/>
            <w:vAlign w:val="bottom"/>
          </w:tcPr>
          <w:p>
            <w:pPr>
              <w:spacing w:after="0" w:line="110" w:lineRule="exact"/>
              <w:rPr>
                <w:sz w:val="20"/>
                <w:szCs w:val="20"/>
                <w:color w:val="auto"/>
              </w:rPr>
            </w:pPr>
            <w:r>
              <w:rPr>
                <w:rFonts w:ascii="Arial" w:cs="Arial" w:eastAsia="Arial" w:hAnsi="Arial"/>
                <w:sz w:val="10"/>
                <w:szCs w:val="10"/>
                <w:color w:val="auto"/>
              </w:rPr>
              <w:t>Steven A. Kandarian</w:t>
            </w:r>
          </w:p>
        </w:tc>
        <w:tc>
          <w:tcPr>
            <w:tcW w:w="27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$166,375</w:t>
            </w:r>
          </w:p>
        </w:tc>
        <w:tc>
          <w:tcPr>
            <w:tcW w:w="920" w:type="dxa"/>
            <w:vAlign w:val="bottom"/>
          </w:tcPr>
          <w:p>
            <w:pPr>
              <w:jc w:val="right"/>
              <w:ind w:right="411"/>
              <w:spacing w:after="0" w:line="110" w:lineRule="exact"/>
              <w:rPr>
                <w:sz w:val="20"/>
                <w:szCs w:val="20"/>
                <w:color w:val="auto"/>
              </w:rPr>
            </w:pPr>
            <w:r>
              <w:rPr>
                <w:rFonts w:ascii="Arial" w:cs="Arial" w:eastAsia="Arial" w:hAnsi="Arial"/>
                <w:sz w:val="10"/>
                <w:szCs w:val="10"/>
                <w:color w:val="auto"/>
              </w:rPr>
              <w:t>$160,014</w:t>
            </w:r>
          </w:p>
        </w:tc>
        <w:tc>
          <w:tcPr>
            <w:tcW w:w="1560" w:type="dxa"/>
            <w:vAlign w:val="bottom"/>
          </w:tcPr>
          <w:p>
            <w:pPr>
              <w:jc w:val="right"/>
              <w:ind w:right="391"/>
              <w:spacing w:after="0" w:line="110" w:lineRule="exact"/>
              <w:rPr>
                <w:sz w:val="20"/>
                <w:szCs w:val="20"/>
                <w:color w:val="auto"/>
              </w:rPr>
            </w:pPr>
            <w:r>
              <w:rPr>
                <w:rFonts w:ascii="Arial" w:cs="Arial" w:eastAsia="Arial" w:hAnsi="Arial"/>
                <w:sz w:val="10"/>
                <w:szCs w:val="10"/>
                <w:color w:val="auto"/>
              </w:rPr>
              <w:t>$0</w:t>
            </w:r>
          </w:p>
        </w:tc>
        <w:tc>
          <w:tcPr>
            <w:tcW w:w="11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$0</w:t>
            </w:r>
          </w:p>
        </w:tc>
        <w:tc>
          <w:tcPr>
            <w:tcW w:w="500" w:type="dxa"/>
            <w:vAlign w:val="bottom"/>
            <w:gridSpan w:val="2"/>
          </w:tcPr>
          <w:p>
            <w:pPr>
              <w:jc w:val="right"/>
              <w:ind w:right="20"/>
              <w:spacing w:after="0" w:line="110" w:lineRule="exact"/>
              <w:rPr>
                <w:sz w:val="20"/>
                <w:szCs w:val="20"/>
                <w:color w:val="auto"/>
              </w:rPr>
            </w:pPr>
            <w:r>
              <w:rPr>
                <w:rFonts w:ascii="Arial" w:cs="Arial" w:eastAsia="Arial" w:hAnsi="Arial"/>
                <w:sz w:val="10"/>
                <w:szCs w:val="10"/>
                <w:color w:val="auto"/>
              </w:rPr>
              <w:t>$326,389</w:t>
            </w:r>
          </w:p>
        </w:tc>
      </w:tr>
      <w:tr>
        <w:trPr>
          <w:trHeight w:val="109"/>
        </w:trPr>
        <w:tc>
          <w:tcPr>
            <w:tcW w:w="2060" w:type="dxa"/>
            <w:vAlign w:val="bottom"/>
          </w:tcPr>
          <w:p>
            <w:pPr>
              <w:spacing w:after="0" w:line="110" w:lineRule="exact"/>
              <w:rPr>
                <w:sz w:val="20"/>
                <w:szCs w:val="20"/>
                <w:color w:val="auto"/>
              </w:rPr>
            </w:pPr>
            <w:r>
              <w:rPr>
                <w:rFonts w:ascii="Arial" w:cs="Arial" w:eastAsia="Arial" w:hAnsi="Arial"/>
                <w:sz w:val="10"/>
                <w:szCs w:val="10"/>
                <w:color w:val="auto"/>
              </w:rPr>
              <w:t>Dr. Robert J. Routs</w:t>
            </w:r>
          </w:p>
        </w:tc>
        <w:tc>
          <w:tcPr>
            <w:tcW w:w="27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$128,625</w:t>
            </w:r>
          </w:p>
        </w:tc>
        <w:tc>
          <w:tcPr>
            <w:tcW w:w="920" w:type="dxa"/>
            <w:vAlign w:val="bottom"/>
          </w:tcPr>
          <w:p>
            <w:pPr>
              <w:jc w:val="right"/>
              <w:ind w:right="411"/>
              <w:spacing w:after="0" w:line="110" w:lineRule="exact"/>
              <w:rPr>
                <w:sz w:val="20"/>
                <w:szCs w:val="20"/>
                <w:color w:val="auto"/>
              </w:rPr>
            </w:pPr>
            <w:r>
              <w:rPr>
                <w:rFonts w:ascii="Arial" w:cs="Arial" w:eastAsia="Arial" w:hAnsi="Arial"/>
                <w:sz w:val="10"/>
                <w:szCs w:val="10"/>
                <w:color w:val="auto"/>
              </w:rPr>
              <w:t>$160,014</w:t>
            </w:r>
          </w:p>
        </w:tc>
        <w:tc>
          <w:tcPr>
            <w:tcW w:w="1560" w:type="dxa"/>
            <w:vAlign w:val="bottom"/>
          </w:tcPr>
          <w:p>
            <w:pPr>
              <w:jc w:val="right"/>
              <w:ind w:right="391"/>
              <w:spacing w:after="0" w:line="110" w:lineRule="exact"/>
              <w:rPr>
                <w:sz w:val="20"/>
                <w:szCs w:val="20"/>
                <w:color w:val="auto"/>
              </w:rPr>
            </w:pPr>
            <w:r>
              <w:rPr>
                <w:rFonts w:ascii="Arial" w:cs="Arial" w:eastAsia="Arial" w:hAnsi="Arial"/>
                <w:sz w:val="10"/>
                <w:szCs w:val="10"/>
                <w:color w:val="auto"/>
              </w:rPr>
              <w:t>$0</w:t>
            </w:r>
          </w:p>
        </w:tc>
        <w:tc>
          <w:tcPr>
            <w:tcW w:w="11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$0</w:t>
            </w:r>
          </w:p>
        </w:tc>
        <w:tc>
          <w:tcPr>
            <w:tcW w:w="500" w:type="dxa"/>
            <w:vAlign w:val="bottom"/>
            <w:gridSpan w:val="2"/>
          </w:tcPr>
          <w:p>
            <w:pPr>
              <w:jc w:val="right"/>
              <w:ind w:right="20"/>
              <w:spacing w:after="0" w:line="110" w:lineRule="exact"/>
              <w:rPr>
                <w:sz w:val="20"/>
                <w:szCs w:val="20"/>
                <w:color w:val="auto"/>
              </w:rPr>
            </w:pPr>
            <w:r>
              <w:rPr>
                <w:rFonts w:ascii="Arial" w:cs="Arial" w:eastAsia="Arial" w:hAnsi="Arial"/>
                <w:sz w:val="10"/>
                <w:szCs w:val="10"/>
                <w:color w:val="auto"/>
              </w:rPr>
              <w:t>$288,639</w:t>
            </w:r>
          </w:p>
        </w:tc>
      </w:tr>
      <w:tr>
        <w:trPr>
          <w:trHeight w:val="109"/>
        </w:trPr>
        <w:tc>
          <w:tcPr>
            <w:tcW w:w="2060" w:type="dxa"/>
            <w:vAlign w:val="bottom"/>
          </w:tcPr>
          <w:p>
            <w:pPr>
              <w:spacing w:after="0" w:line="110" w:lineRule="exact"/>
              <w:rPr>
                <w:sz w:val="20"/>
                <w:szCs w:val="20"/>
                <w:color w:val="auto"/>
              </w:rPr>
            </w:pPr>
            <w:r>
              <w:rPr>
                <w:rFonts w:ascii="Arial" w:cs="Arial" w:eastAsia="Arial" w:hAnsi="Arial"/>
                <w:sz w:val="10"/>
                <w:szCs w:val="10"/>
                <w:color w:val="auto"/>
              </w:rPr>
              <w:t>Clarence T. Schmitz</w:t>
            </w:r>
          </w:p>
        </w:tc>
        <w:tc>
          <w:tcPr>
            <w:tcW w:w="27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$133,375</w:t>
            </w:r>
          </w:p>
        </w:tc>
        <w:tc>
          <w:tcPr>
            <w:tcW w:w="920" w:type="dxa"/>
            <w:vAlign w:val="bottom"/>
          </w:tcPr>
          <w:p>
            <w:pPr>
              <w:jc w:val="right"/>
              <w:ind w:right="411"/>
              <w:spacing w:after="0" w:line="110" w:lineRule="exact"/>
              <w:rPr>
                <w:sz w:val="20"/>
                <w:szCs w:val="20"/>
                <w:color w:val="auto"/>
              </w:rPr>
            </w:pPr>
            <w:r>
              <w:rPr>
                <w:rFonts w:ascii="Arial" w:cs="Arial" w:eastAsia="Arial" w:hAnsi="Arial"/>
                <w:sz w:val="10"/>
                <w:szCs w:val="10"/>
                <w:color w:val="auto"/>
              </w:rPr>
              <w:t>$160,014</w:t>
            </w:r>
          </w:p>
        </w:tc>
        <w:tc>
          <w:tcPr>
            <w:tcW w:w="1560" w:type="dxa"/>
            <w:vAlign w:val="bottom"/>
          </w:tcPr>
          <w:p>
            <w:pPr>
              <w:jc w:val="right"/>
              <w:ind w:right="391"/>
              <w:spacing w:after="0" w:line="110" w:lineRule="exact"/>
              <w:rPr>
                <w:sz w:val="20"/>
                <w:szCs w:val="20"/>
                <w:color w:val="auto"/>
              </w:rPr>
            </w:pPr>
            <w:r>
              <w:rPr>
                <w:rFonts w:ascii="Arial" w:cs="Arial" w:eastAsia="Arial" w:hAnsi="Arial"/>
                <w:sz w:val="10"/>
                <w:szCs w:val="10"/>
                <w:color w:val="auto"/>
              </w:rPr>
              <w:t>$0</w:t>
            </w:r>
          </w:p>
        </w:tc>
        <w:tc>
          <w:tcPr>
            <w:tcW w:w="11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$1,000</w:t>
            </w:r>
          </w:p>
        </w:tc>
        <w:tc>
          <w:tcPr>
            <w:tcW w:w="500" w:type="dxa"/>
            <w:vAlign w:val="bottom"/>
            <w:gridSpan w:val="2"/>
          </w:tcPr>
          <w:p>
            <w:pPr>
              <w:jc w:val="right"/>
              <w:ind w:right="20"/>
              <w:spacing w:after="0" w:line="110" w:lineRule="exact"/>
              <w:rPr>
                <w:sz w:val="20"/>
                <w:szCs w:val="20"/>
                <w:color w:val="auto"/>
              </w:rPr>
            </w:pPr>
            <w:r>
              <w:rPr>
                <w:rFonts w:ascii="Arial" w:cs="Arial" w:eastAsia="Arial" w:hAnsi="Arial"/>
                <w:sz w:val="10"/>
                <w:szCs w:val="10"/>
                <w:color w:val="auto"/>
              </w:rPr>
              <w:t>$294,389</w:t>
            </w:r>
          </w:p>
        </w:tc>
      </w:tr>
      <w:tr>
        <w:trPr>
          <w:trHeight w:val="109"/>
        </w:trPr>
        <w:tc>
          <w:tcPr>
            <w:tcW w:w="2060" w:type="dxa"/>
            <w:vAlign w:val="bottom"/>
          </w:tcPr>
          <w:p>
            <w:pPr>
              <w:spacing w:after="0" w:line="110" w:lineRule="exact"/>
              <w:rPr>
                <w:sz w:val="20"/>
                <w:szCs w:val="20"/>
                <w:color w:val="auto"/>
              </w:rPr>
            </w:pPr>
            <w:r>
              <w:rPr>
                <w:rFonts w:ascii="Arial" w:cs="Arial" w:eastAsia="Arial" w:hAnsi="Arial"/>
                <w:sz w:val="10"/>
                <w:szCs w:val="10"/>
                <w:color w:val="auto"/>
              </w:rPr>
              <w:t>Douglas W. Stotlar</w:t>
            </w:r>
          </w:p>
        </w:tc>
        <w:tc>
          <w:tcPr>
            <w:tcW w:w="27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$153,141</w:t>
            </w:r>
          </w:p>
        </w:tc>
        <w:tc>
          <w:tcPr>
            <w:tcW w:w="920" w:type="dxa"/>
            <w:vAlign w:val="bottom"/>
          </w:tcPr>
          <w:p>
            <w:pPr>
              <w:jc w:val="right"/>
              <w:ind w:right="411"/>
              <w:spacing w:after="0" w:line="110" w:lineRule="exact"/>
              <w:rPr>
                <w:sz w:val="20"/>
                <w:szCs w:val="20"/>
                <w:color w:val="auto"/>
              </w:rPr>
            </w:pPr>
            <w:r>
              <w:rPr>
                <w:rFonts w:ascii="Arial" w:cs="Arial" w:eastAsia="Arial" w:hAnsi="Arial"/>
                <w:sz w:val="10"/>
                <w:szCs w:val="10"/>
                <w:color w:val="auto"/>
              </w:rPr>
              <w:t>$160,014</w:t>
            </w:r>
          </w:p>
        </w:tc>
        <w:tc>
          <w:tcPr>
            <w:tcW w:w="1560" w:type="dxa"/>
            <w:vAlign w:val="bottom"/>
          </w:tcPr>
          <w:p>
            <w:pPr>
              <w:jc w:val="right"/>
              <w:ind w:right="391"/>
              <w:spacing w:after="0" w:line="110" w:lineRule="exact"/>
              <w:rPr>
                <w:sz w:val="20"/>
                <w:szCs w:val="20"/>
                <w:color w:val="auto"/>
              </w:rPr>
            </w:pPr>
            <w:r>
              <w:rPr>
                <w:rFonts w:ascii="Arial" w:cs="Arial" w:eastAsia="Arial" w:hAnsi="Arial"/>
                <w:sz w:val="10"/>
                <w:szCs w:val="10"/>
                <w:color w:val="auto"/>
              </w:rPr>
              <w:t>$0</w:t>
            </w:r>
          </w:p>
        </w:tc>
        <w:tc>
          <w:tcPr>
            <w:tcW w:w="11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$10,000</w:t>
            </w:r>
          </w:p>
        </w:tc>
        <w:tc>
          <w:tcPr>
            <w:tcW w:w="500" w:type="dxa"/>
            <w:vAlign w:val="bottom"/>
            <w:gridSpan w:val="2"/>
          </w:tcPr>
          <w:p>
            <w:pPr>
              <w:jc w:val="right"/>
              <w:ind w:right="20"/>
              <w:spacing w:after="0" w:line="110" w:lineRule="exact"/>
              <w:rPr>
                <w:sz w:val="20"/>
                <w:szCs w:val="20"/>
                <w:color w:val="auto"/>
              </w:rPr>
            </w:pPr>
            <w:r>
              <w:rPr>
                <w:rFonts w:ascii="Arial" w:cs="Arial" w:eastAsia="Arial" w:hAnsi="Arial"/>
                <w:sz w:val="10"/>
                <w:szCs w:val="10"/>
                <w:color w:val="auto"/>
              </w:rPr>
              <w:t>$323,155</w:t>
            </w:r>
          </w:p>
        </w:tc>
      </w:tr>
      <w:tr>
        <w:trPr>
          <w:trHeight w:val="109"/>
        </w:trPr>
        <w:tc>
          <w:tcPr>
            <w:tcW w:w="2060" w:type="dxa"/>
            <w:vAlign w:val="bottom"/>
          </w:tcPr>
          <w:p>
            <w:pPr>
              <w:spacing w:after="0" w:line="110" w:lineRule="exact"/>
              <w:rPr>
                <w:sz w:val="20"/>
                <w:szCs w:val="20"/>
                <w:color w:val="auto"/>
              </w:rPr>
            </w:pPr>
            <w:r>
              <w:rPr>
                <w:rFonts w:ascii="Arial" w:cs="Arial" w:eastAsia="Arial" w:hAnsi="Arial"/>
                <w:sz w:val="10"/>
                <w:szCs w:val="10"/>
                <w:color w:val="auto"/>
              </w:rPr>
              <w:t>Daniel R. Tishman</w:t>
            </w:r>
          </w:p>
        </w:tc>
        <w:tc>
          <w:tcPr>
            <w:tcW w:w="27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$107,225</w:t>
            </w:r>
          </w:p>
        </w:tc>
        <w:tc>
          <w:tcPr>
            <w:tcW w:w="920" w:type="dxa"/>
            <w:vAlign w:val="bottom"/>
          </w:tcPr>
          <w:p>
            <w:pPr>
              <w:jc w:val="right"/>
              <w:ind w:right="411"/>
              <w:spacing w:after="0" w:line="110" w:lineRule="exact"/>
              <w:rPr>
                <w:sz w:val="20"/>
                <w:szCs w:val="20"/>
                <w:color w:val="auto"/>
              </w:rPr>
            </w:pPr>
            <w:r>
              <w:rPr>
                <w:rFonts w:ascii="Arial" w:cs="Arial" w:eastAsia="Arial" w:hAnsi="Arial"/>
                <w:sz w:val="10"/>
                <w:szCs w:val="10"/>
                <w:color w:val="auto"/>
              </w:rPr>
              <w:t>$160,014</w:t>
            </w:r>
          </w:p>
        </w:tc>
        <w:tc>
          <w:tcPr>
            <w:tcW w:w="1560" w:type="dxa"/>
            <w:vAlign w:val="bottom"/>
          </w:tcPr>
          <w:p>
            <w:pPr>
              <w:jc w:val="right"/>
              <w:ind w:right="391"/>
              <w:spacing w:after="0" w:line="110" w:lineRule="exact"/>
              <w:rPr>
                <w:sz w:val="20"/>
                <w:szCs w:val="20"/>
                <w:color w:val="auto"/>
              </w:rPr>
            </w:pPr>
            <w:r>
              <w:rPr>
                <w:rFonts w:ascii="Arial" w:cs="Arial" w:eastAsia="Arial" w:hAnsi="Arial"/>
                <w:sz w:val="10"/>
                <w:szCs w:val="10"/>
                <w:color w:val="auto"/>
              </w:rPr>
              <w:t>$0</w:t>
            </w:r>
          </w:p>
        </w:tc>
        <w:tc>
          <w:tcPr>
            <w:tcW w:w="11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$0</w:t>
            </w:r>
          </w:p>
        </w:tc>
        <w:tc>
          <w:tcPr>
            <w:tcW w:w="500" w:type="dxa"/>
            <w:vAlign w:val="bottom"/>
            <w:gridSpan w:val="2"/>
          </w:tcPr>
          <w:p>
            <w:pPr>
              <w:jc w:val="right"/>
              <w:ind w:right="20"/>
              <w:spacing w:after="0" w:line="110" w:lineRule="exact"/>
              <w:rPr>
                <w:sz w:val="20"/>
                <w:szCs w:val="20"/>
                <w:color w:val="auto"/>
              </w:rPr>
            </w:pPr>
            <w:r>
              <w:rPr>
                <w:rFonts w:ascii="Arial" w:cs="Arial" w:eastAsia="Arial" w:hAnsi="Arial"/>
                <w:sz w:val="10"/>
                <w:szCs w:val="10"/>
                <w:color w:val="auto"/>
              </w:rPr>
              <w:t>$267,239</w:t>
            </w:r>
          </w:p>
        </w:tc>
      </w:tr>
      <w:tr>
        <w:trPr>
          <w:trHeight w:val="130"/>
        </w:trPr>
        <w:tc>
          <w:tcPr>
            <w:tcW w:w="2060" w:type="dxa"/>
            <w:vAlign w:val="bottom"/>
          </w:tcPr>
          <w:p>
            <w:pPr>
              <w:spacing w:after="0"/>
              <w:rPr>
                <w:sz w:val="20"/>
                <w:szCs w:val="20"/>
                <w:color w:val="auto"/>
              </w:rPr>
            </w:pPr>
            <w:r>
              <w:rPr>
                <w:rFonts w:ascii="Arial" w:cs="Arial" w:eastAsia="Arial" w:hAnsi="Arial"/>
                <w:sz w:val="10"/>
                <w:szCs w:val="10"/>
                <w:color w:val="auto"/>
              </w:rPr>
              <w:t>General Janet C. Wolfenbarger</w:t>
            </w:r>
          </w:p>
        </w:tc>
        <w:tc>
          <w:tcPr>
            <w:tcW w:w="2780" w:type="dxa"/>
            <w:vAlign w:val="bottom"/>
          </w:tcPr>
          <w:p>
            <w:pPr>
              <w:jc w:val="right"/>
              <w:ind w:right="11"/>
              <w:spacing w:after="0"/>
              <w:rPr>
                <w:sz w:val="20"/>
                <w:szCs w:val="20"/>
                <w:color w:val="auto"/>
              </w:rPr>
            </w:pPr>
            <w:r>
              <w:rPr>
                <w:rFonts w:ascii="Arial" w:cs="Arial" w:eastAsia="Arial" w:hAnsi="Arial"/>
                <w:sz w:val="10"/>
                <w:szCs w:val="10"/>
                <w:color w:val="auto"/>
              </w:rPr>
              <w:t>$116,250</w:t>
            </w:r>
          </w:p>
        </w:tc>
        <w:tc>
          <w:tcPr>
            <w:tcW w:w="920" w:type="dxa"/>
            <w:vAlign w:val="bottom"/>
          </w:tcPr>
          <w:p>
            <w:pPr>
              <w:jc w:val="right"/>
              <w:ind w:right="411"/>
              <w:spacing w:after="0"/>
              <w:rPr>
                <w:sz w:val="20"/>
                <w:szCs w:val="20"/>
                <w:color w:val="auto"/>
              </w:rPr>
            </w:pPr>
            <w:r>
              <w:rPr>
                <w:rFonts w:ascii="Arial" w:cs="Arial" w:eastAsia="Arial" w:hAnsi="Arial"/>
                <w:sz w:val="10"/>
                <w:szCs w:val="10"/>
                <w:color w:val="auto"/>
              </w:rPr>
              <w:t>$160,014</w:t>
            </w:r>
          </w:p>
        </w:tc>
        <w:tc>
          <w:tcPr>
            <w:tcW w:w="1560" w:type="dxa"/>
            <w:vAlign w:val="bottom"/>
          </w:tcPr>
          <w:p>
            <w:pPr>
              <w:jc w:val="right"/>
              <w:ind w:right="391"/>
              <w:spacing w:after="0"/>
              <w:rPr>
                <w:sz w:val="20"/>
                <w:szCs w:val="20"/>
                <w:color w:val="auto"/>
              </w:rPr>
            </w:pPr>
            <w:r>
              <w:rPr>
                <w:rFonts w:ascii="Arial" w:cs="Arial" w:eastAsia="Arial" w:hAnsi="Arial"/>
                <w:sz w:val="10"/>
                <w:szCs w:val="10"/>
                <w:color w:val="auto"/>
              </w:rPr>
              <w:t>$0</w:t>
            </w:r>
          </w:p>
        </w:tc>
        <w:tc>
          <w:tcPr>
            <w:tcW w:w="1180" w:type="dxa"/>
            <w:vAlign w:val="bottom"/>
          </w:tcPr>
          <w:p>
            <w:pPr>
              <w:jc w:val="right"/>
              <w:ind w:right="11"/>
              <w:spacing w:after="0"/>
              <w:rPr>
                <w:sz w:val="20"/>
                <w:szCs w:val="20"/>
                <w:color w:val="auto"/>
              </w:rPr>
            </w:pPr>
            <w:r>
              <w:rPr>
                <w:rFonts w:ascii="Arial" w:cs="Arial" w:eastAsia="Arial" w:hAnsi="Arial"/>
                <w:sz w:val="10"/>
                <w:szCs w:val="10"/>
                <w:color w:val="auto"/>
              </w:rPr>
              <w:t>$0</w:t>
            </w:r>
          </w:p>
        </w:tc>
        <w:tc>
          <w:tcPr>
            <w:tcW w:w="500" w:type="dxa"/>
            <w:vAlign w:val="bottom"/>
            <w:gridSpan w:val="2"/>
          </w:tcPr>
          <w:p>
            <w:pPr>
              <w:jc w:val="right"/>
              <w:ind w:right="20"/>
              <w:spacing w:after="0"/>
              <w:rPr>
                <w:sz w:val="20"/>
                <w:szCs w:val="20"/>
                <w:color w:val="auto"/>
              </w:rPr>
            </w:pPr>
            <w:r>
              <w:rPr>
                <w:rFonts w:ascii="Arial" w:cs="Arial" w:eastAsia="Arial" w:hAnsi="Arial"/>
                <w:sz w:val="10"/>
                <w:szCs w:val="10"/>
                <w:color w:val="auto"/>
              </w:rPr>
              <w:t>$276,264</w:t>
            </w:r>
          </w:p>
        </w:tc>
      </w:tr>
      <w:tr>
        <w:trPr>
          <w:trHeight w:val="61"/>
        </w:trPr>
        <w:tc>
          <w:tcPr>
            <w:tcW w:w="2060" w:type="dxa"/>
            <w:vAlign w:val="bottom"/>
            <w:tcBorders>
              <w:bottom w:val="single" w:sz="8" w:color="auto"/>
            </w:tcBorders>
          </w:tcPr>
          <w:p>
            <w:pPr>
              <w:spacing w:after="0"/>
              <w:rPr>
                <w:sz w:val="5"/>
                <w:szCs w:val="5"/>
                <w:color w:val="auto"/>
              </w:rPr>
            </w:pPr>
          </w:p>
        </w:tc>
        <w:tc>
          <w:tcPr>
            <w:tcW w:w="2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r>
    </w:tbl>
    <w:p>
      <w:pPr>
        <w:spacing w:after="0" w:line="143" w:lineRule="exact"/>
        <w:rPr>
          <w:sz w:val="20"/>
          <w:szCs w:val="20"/>
          <w:color w:val="auto"/>
        </w:rPr>
      </w:pPr>
    </w:p>
    <w:p>
      <w:pPr>
        <w:ind w:left="1480" w:hanging="357"/>
        <w:spacing w:after="0"/>
        <w:tabs>
          <w:tab w:leader="none" w:pos="14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These amounts include annual retainer fees and any Board and Committee meeting fees earned in fiscal year 2020.</w:t>
      </w:r>
    </w:p>
    <w:p>
      <w:pPr>
        <w:spacing w:after="0" w:line="135" w:lineRule="exact"/>
        <w:rPr>
          <w:rFonts w:ascii="Arial" w:cs="Arial" w:eastAsia="Arial" w:hAnsi="Arial"/>
          <w:sz w:val="12"/>
          <w:szCs w:val="12"/>
          <w:color w:val="auto"/>
        </w:rPr>
      </w:pPr>
    </w:p>
    <w:p>
      <w:pPr>
        <w:ind w:left="1480" w:hanging="357"/>
        <w:spacing w:after="0" w:line="274" w:lineRule="auto"/>
        <w:tabs>
          <w:tab w:leader="none" w:pos="14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All of these restricted stock units will become 100% vested and be settled, in shares of AECOM stock, on the earlier of the first anniversary of the grant date or the date of the Company's 2021 Annual Meeting.</w:t>
      </w:r>
    </w:p>
    <w:p>
      <w:pPr>
        <w:spacing w:after="0" w:line="95" w:lineRule="exact"/>
        <w:rPr>
          <w:rFonts w:ascii="Arial" w:cs="Arial" w:eastAsia="Arial" w:hAnsi="Arial"/>
          <w:sz w:val="12"/>
          <w:szCs w:val="12"/>
          <w:color w:val="auto"/>
        </w:rPr>
      </w:pPr>
    </w:p>
    <w:p>
      <w:pPr>
        <w:ind w:left="1480" w:hanging="357"/>
        <w:spacing w:after="0"/>
        <w:tabs>
          <w:tab w:leader="none" w:pos="14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Reflects earnings on EDCP deferrals above 120% of the Applicable Federal Rate (AFR).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6" w:name="page97"/>
    <w:bookmarkEnd w:id="96"/>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ind w:left="1480" w:right="339" w:hanging="357"/>
        <w:spacing w:after="0" w:line="494" w:lineRule="auto"/>
        <w:tabs>
          <w:tab w:leader="none" w:pos="14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amounts for non-employee directors include Company matching contributions to charitable organizations for Ms. Griego, and Messrs. Schmitz, and Stotlar. The non-employee directors as of September 30, 2020 had the following number of unvested RSUs and PEPs units outstanding as of such date:</w:t>
      </w:r>
    </w:p>
    <w:tbl>
      <w:tblPr>
        <w:tblLayout w:type="fixed"/>
        <w:tblInd w:w="1340" w:type="dxa"/>
        <w:tblCellMar>
          <w:top w:w="0" w:type="dxa"/>
          <w:left w:w="0" w:type="dxa"/>
          <w:bottom w:w="0" w:type="dxa"/>
          <w:right w:w="0" w:type="dxa"/>
        </w:tblCellMar>
      </w:tblPr>
      <w:tr>
        <w:trPr>
          <w:trHeight w:val="109"/>
        </w:trPr>
        <w:tc>
          <w:tcPr>
            <w:tcW w:w="23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540" w:type="dxa"/>
            <w:vAlign w:val="bottom"/>
          </w:tcPr>
          <w:p>
            <w:pPr>
              <w:jc w:val="right"/>
              <w:ind w:right="491"/>
              <w:spacing w:after="0" w:line="110" w:lineRule="exact"/>
              <w:rPr>
                <w:sz w:val="20"/>
                <w:szCs w:val="20"/>
                <w:color w:val="auto"/>
              </w:rPr>
            </w:pPr>
            <w:r>
              <w:rPr>
                <w:rFonts w:ascii="Arial" w:cs="Arial" w:eastAsia="Arial" w:hAnsi="Arial"/>
                <w:sz w:val="10"/>
                <w:szCs w:val="10"/>
                <w:b w:val="1"/>
                <w:bCs w:val="1"/>
                <w:color w:val="auto"/>
              </w:rPr>
              <w:t>Additional</w:t>
            </w:r>
          </w:p>
        </w:tc>
        <w:tc>
          <w:tcPr>
            <w:tcW w:w="1000" w:type="dxa"/>
            <w:vAlign w:val="bottom"/>
          </w:tcPr>
          <w:p>
            <w:pPr>
              <w:jc w:val="right"/>
              <w:spacing w:after="0" w:line="110" w:lineRule="exact"/>
              <w:rPr>
                <w:sz w:val="20"/>
                <w:szCs w:val="20"/>
                <w:color w:val="auto"/>
              </w:rPr>
            </w:pPr>
            <w:r>
              <w:rPr>
                <w:rFonts w:ascii="Arial" w:cs="Arial" w:eastAsia="Arial" w:hAnsi="Arial"/>
                <w:sz w:val="10"/>
                <w:szCs w:val="10"/>
                <w:b w:val="1"/>
                <w:bCs w:val="1"/>
                <w:color w:val="auto"/>
              </w:rPr>
              <w:t>Additional</w:t>
            </w:r>
          </w:p>
        </w:tc>
      </w:tr>
      <w:tr>
        <w:trPr>
          <w:trHeight w:val="109"/>
        </w:trPr>
        <w:tc>
          <w:tcPr>
            <w:tcW w:w="2320" w:type="dxa"/>
            <w:vAlign w:val="bottom"/>
          </w:tcPr>
          <w:p>
            <w:pPr>
              <w:spacing w:after="0"/>
              <w:rPr>
                <w:sz w:val="9"/>
                <w:szCs w:val="9"/>
                <w:color w:val="auto"/>
              </w:rPr>
            </w:pPr>
          </w:p>
        </w:tc>
        <w:tc>
          <w:tcPr>
            <w:tcW w:w="3620" w:type="dxa"/>
            <w:vAlign w:val="bottom"/>
          </w:tcPr>
          <w:p>
            <w:pPr>
              <w:jc w:val="right"/>
              <w:ind w:right="491"/>
              <w:spacing w:after="0" w:line="110" w:lineRule="exact"/>
              <w:rPr>
                <w:sz w:val="20"/>
                <w:szCs w:val="20"/>
                <w:color w:val="auto"/>
              </w:rPr>
            </w:pPr>
            <w:r>
              <w:rPr>
                <w:rFonts w:ascii="Arial" w:cs="Arial" w:eastAsia="Arial" w:hAnsi="Arial"/>
                <w:sz w:val="10"/>
                <w:szCs w:val="10"/>
                <w:b w:val="1"/>
                <w:bCs w:val="1"/>
                <w:color w:val="auto"/>
              </w:rPr>
              <w:t>Unvested</w:t>
            </w:r>
          </w:p>
        </w:tc>
        <w:tc>
          <w:tcPr>
            <w:tcW w:w="1540" w:type="dxa"/>
            <w:vAlign w:val="bottom"/>
          </w:tcPr>
          <w:p>
            <w:pPr>
              <w:jc w:val="right"/>
              <w:ind w:right="491"/>
              <w:spacing w:after="0" w:line="110" w:lineRule="exact"/>
              <w:rPr>
                <w:sz w:val="20"/>
                <w:szCs w:val="20"/>
                <w:color w:val="auto"/>
              </w:rPr>
            </w:pPr>
            <w:r>
              <w:rPr>
                <w:rFonts w:ascii="Arial" w:cs="Arial" w:eastAsia="Arial" w:hAnsi="Arial"/>
                <w:sz w:val="10"/>
                <w:szCs w:val="10"/>
                <w:b w:val="1"/>
                <w:bCs w:val="1"/>
                <w:color w:val="auto"/>
              </w:rPr>
              <w:t>Unvested</w:t>
            </w:r>
          </w:p>
        </w:tc>
        <w:tc>
          <w:tcPr>
            <w:tcW w:w="1000" w:type="dxa"/>
            <w:vAlign w:val="bottom"/>
          </w:tcPr>
          <w:p>
            <w:pPr>
              <w:jc w:val="right"/>
              <w:spacing w:after="0" w:line="110" w:lineRule="exact"/>
              <w:rPr>
                <w:sz w:val="20"/>
                <w:szCs w:val="20"/>
                <w:color w:val="auto"/>
              </w:rPr>
            </w:pPr>
            <w:r>
              <w:rPr>
                <w:rFonts w:ascii="Arial" w:cs="Arial" w:eastAsia="Arial" w:hAnsi="Arial"/>
                <w:sz w:val="10"/>
                <w:szCs w:val="10"/>
                <w:b w:val="1"/>
                <w:bCs w:val="1"/>
                <w:color w:val="auto"/>
              </w:rPr>
              <w:t>Unvested</w:t>
            </w:r>
          </w:p>
        </w:tc>
      </w:tr>
      <w:tr>
        <w:trPr>
          <w:trHeight w:val="118"/>
        </w:trPr>
        <w:tc>
          <w:tcPr>
            <w:tcW w:w="2320" w:type="dxa"/>
            <w:vAlign w:val="bottom"/>
            <w:tcBorders>
              <w:bottom w:val="single" w:sz="8" w:color="00B2E5"/>
            </w:tcBorders>
          </w:tcPr>
          <w:p>
            <w:pPr>
              <w:spacing w:after="0"/>
              <w:rPr>
                <w:sz w:val="20"/>
                <w:szCs w:val="20"/>
                <w:color w:val="auto"/>
              </w:rPr>
            </w:pPr>
            <w:r>
              <w:rPr>
                <w:rFonts w:ascii="Arial" w:cs="Arial" w:eastAsia="Arial" w:hAnsi="Arial"/>
                <w:sz w:val="10"/>
                <w:szCs w:val="10"/>
                <w:b w:val="1"/>
                <w:bCs w:val="1"/>
                <w:color w:val="auto"/>
              </w:rPr>
              <w:t>Director</w:t>
            </w:r>
          </w:p>
        </w:tc>
        <w:tc>
          <w:tcPr>
            <w:tcW w:w="3620" w:type="dxa"/>
            <w:vAlign w:val="bottom"/>
            <w:tcBorders>
              <w:bottom w:val="single" w:sz="8" w:color="00B2E5"/>
            </w:tcBorders>
          </w:tcPr>
          <w:p>
            <w:pPr>
              <w:jc w:val="right"/>
              <w:ind w:right="491"/>
              <w:spacing w:after="0"/>
              <w:rPr>
                <w:sz w:val="20"/>
                <w:szCs w:val="20"/>
                <w:color w:val="auto"/>
              </w:rPr>
            </w:pPr>
            <w:r>
              <w:rPr>
                <w:rFonts w:ascii="Arial" w:cs="Arial" w:eastAsia="Arial" w:hAnsi="Arial"/>
                <w:sz w:val="10"/>
                <w:szCs w:val="10"/>
                <w:b w:val="1"/>
                <w:bCs w:val="1"/>
                <w:color w:val="auto"/>
              </w:rPr>
              <w:t>RSUs</w:t>
            </w:r>
          </w:p>
        </w:tc>
        <w:tc>
          <w:tcPr>
            <w:tcW w:w="1540" w:type="dxa"/>
            <w:vAlign w:val="bottom"/>
            <w:tcBorders>
              <w:bottom w:val="single" w:sz="8" w:color="00B2E5"/>
            </w:tcBorders>
          </w:tcPr>
          <w:p>
            <w:pPr>
              <w:jc w:val="right"/>
              <w:ind w:right="491"/>
              <w:spacing w:after="0"/>
              <w:rPr>
                <w:sz w:val="20"/>
                <w:szCs w:val="20"/>
                <w:color w:val="auto"/>
              </w:rPr>
            </w:pPr>
            <w:r>
              <w:rPr>
                <w:rFonts w:ascii="Arial" w:cs="Arial" w:eastAsia="Arial" w:hAnsi="Arial"/>
                <w:sz w:val="10"/>
                <w:szCs w:val="10"/>
                <w:b w:val="1"/>
                <w:bCs w:val="1"/>
                <w:color w:val="auto"/>
              </w:rPr>
              <w:t>RSUs*</w:t>
            </w:r>
          </w:p>
        </w:tc>
        <w:tc>
          <w:tcPr>
            <w:tcW w:w="1000" w:type="dxa"/>
            <w:vAlign w:val="bottom"/>
            <w:tcBorders>
              <w:bottom w:val="single" w:sz="8" w:color="00B2E5"/>
            </w:tcBorders>
          </w:tcPr>
          <w:p>
            <w:pPr>
              <w:jc w:val="right"/>
              <w:spacing w:after="0"/>
              <w:rPr>
                <w:sz w:val="20"/>
                <w:szCs w:val="20"/>
                <w:color w:val="auto"/>
              </w:rPr>
            </w:pPr>
            <w:r>
              <w:rPr>
                <w:rFonts w:ascii="Arial" w:cs="Arial" w:eastAsia="Arial" w:hAnsi="Arial"/>
                <w:sz w:val="10"/>
                <w:szCs w:val="10"/>
                <w:b w:val="1"/>
                <w:bCs w:val="1"/>
                <w:color w:val="auto"/>
              </w:rPr>
              <w:t>PEPs*</w:t>
            </w:r>
          </w:p>
        </w:tc>
      </w:tr>
      <w:tr>
        <w:trPr>
          <w:trHeight w:val="99"/>
        </w:trPr>
        <w:tc>
          <w:tcPr>
            <w:tcW w:w="2320" w:type="dxa"/>
            <w:vAlign w:val="bottom"/>
          </w:tcPr>
          <w:p>
            <w:pPr>
              <w:spacing w:after="0" w:line="99" w:lineRule="exact"/>
              <w:rPr>
                <w:sz w:val="20"/>
                <w:szCs w:val="20"/>
                <w:color w:val="auto"/>
              </w:rPr>
            </w:pPr>
            <w:r>
              <w:rPr>
                <w:rFonts w:ascii="Arial" w:cs="Arial" w:eastAsia="Arial" w:hAnsi="Arial"/>
                <w:sz w:val="10"/>
                <w:szCs w:val="10"/>
                <w:color w:val="auto"/>
              </w:rPr>
              <w:t>Bradley W. Buss</w:t>
            </w:r>
          </w:p>
        </w:tc>
        <w:tc>
          <w:tcPr>
            <w:tcW w:w="3620" w:type="dxa"/>
            <w:vAlign w:val="bottom"/>
          </w:tcPr>
          <w:p>
            <w:pPr>
              <w:jc w:val="right"/>
              <w:ind w:right="491"/>
              <w:spacing w:after="0" w:line="99" w:lineRule="exact"/>
              <w:rPr>
                <w:sz w:val="20"/>
                <w:szCs w:val="20"/>
                <w:color w:val="auto"/>
              </w:rPr>
            </w:pPr>
            <w:r>
              <w:rPr>
                <w:rFonts w:ascii="Arial" w:cs="Arial" w:eastAsia="Arial" w:hAnsi="Arial"/>
                <w:sz w:val="10"/>
                <w:szCs w:val="10"/>
                <w:color w:val="auto"/>
              </w:rPr>
              <w:t>3,090</w:t>
            </w:r>
          </w:p>
        </w:tc>
        <w:tc>
          <w:tcPr>
            <w:tcW w:w="1540" w:type="dxa"/>
            <w:vAlign w:val="bottom"/>
          </w:tcPr>
          <w:p>
            <w:pPr>
              <w:jc w:val="right"/>
              <w:ind w:right="491"/>
              <w:spacing w:after="0" w:line="99" w:lineRule="exact"/>
              <w:rPr>
                <w:sz w:val="20"/>
                <w:szCs w:val="20"/>
                <w:color w:val="auto"/>
              </w:rPr>
            </w:pPr>
            <w:r>
              <w:rPr>
                <w:rFonts w:ascii="Arial" w:cs="Arial" w:eastAsia="Arial" w:hAnsi="Arial"/>
                <w:sz w:val="10"/>
                <w:szCs w:val="10"/>
                <w:color w:val="auto"/>
              </w:rPr>
              <w:t>—</w:t>
            </w:r>
          </w:p>
        </w:tc>
        <w:tc>
          <w:tcPr>
            <w:tcW w:w="1000" w:type="dxa"/>
            <w:vAlign w:val="bottom"/>
          </w:tcPr>
          <w:p>
            <w:pPr>
              <w:jc w:val="right"/>
              <w:spacing w:after="0" w:line="99" w:lineRule="exact"/>
              <w:rPr>
                <w:sz w:val="20"/>
                <w:szCs w:val="20"/>
                <w:color w:val="auto"/>
              </w:rPr>
            </w:pPr>
            <w:r>
              <w:rPr>
                <w:rFonts w:ascii="Arial" w:cs="Arial" w:eastAsia="Arial" w:hAnsi="Arial"/>
                <w:sz w:val="10"/>
                <w:szCs w:val="10"/>
                <w:color w:val="auto"/>
              </w:rPr>
              <w:t>—</w:t>
            </w:r>
          </w:p>
        </w:tc>
      </w:tr>
      <w:tr>
        <w:trPr>
          <w:trHeight w:val="109"/>
        </w:trPr>
        <w:tc>
          <w:tcPr>
            <w:tcW w:w="2320" w:type="dxa"/>
            <w:vAlign w:val="bottom"/>
          </w:tcPr>
          <w:p>
            <w:pPr>
              <w:spacing w:after="0" w:line="110" w:lineRule="exact"/>
              <w:rPr>
                <w:sz w:val="20"/>
                <w:szCs w:val="20"/>
                <w:color w:val="auto"/>
              </w:rPr>
            </w:pPr>
            <w:r>
              <w:rPr>
                <w:rFonts w:ascii="Arial" w:cs="Arial" w:eastAsia="Arial" w:hAnsi="Arial"/>
                <w:sz w:val="10"/>
                <w:szCs w:val="10"/>
                <w:color w:val="auto"/>
              </w:rPr>
              <w:t>Robert G. Card</w:t>
            </w:r>
          </w:p>
        </w:tc>
        <w:tc>
          <w:tcPr>
            <w:tcW w:w="3620" w:type="dxa"/>
            <w:vAlign w:val="bottom"/>
          </w:tcPr>
          <w:p>
            <w:pPr>
              <w:jc w:val="right"/>
              <w:ind w:right="491"/>
              <w:spacing w:after="0" w:line="110" w:lineRule="exact"/>
              <w:rPr>
                <w:sz w:val="20"/>
                <w:szCs w:val="20"/>
                <w:color w:val="auto"/>
              </w:rPr>
            </w:pPr>
            <w:r>
              <w:rPr>
                <w:rFonts w:ascii="Arial" w:cs="Arial" w:eastAsia="Arial" w:hAnsi="Arial"/>
                <w:sz w:val="10"/>
                <w:szCs w:val="10"/>
                <w:color w:val="auto"/>
              </w:rPr>
              <w:t>4,396</w:t>
            </w:r>
          </w:p>
        </w:tc>
        <w:tc>
          <w:tcPr>
            <w:tcW w:w="1540" w:type="dxa"/>
            <w:vAlign w:val="bottom"/>
          </w:tcPr>
          <w:p>
            <w:pPr>
              <w:jc w:val="right"/>
              <w:ind w:right="491"/>
              <w:spacing w:after="0" w:line="110" w:lineRule="exact"/>
              <w:rPr>
                <w:sz w:val="20"/>
                <w:szCs w:val="20"/>
                <w:color w:val="auto"/>
              </w:rPr>
            </w:pPr>
            <w:r>
              <w:rPr>
                <w:rFonts w:ascii="Arial" w:cs="Arial" w:eastAsia="Arial" w:hAnsi="Arial"/>
                <w:sz w:val="10"/>
                <w:szCs w:val="10"/>
                <w:color w:val="auto"/>
              </w:rPr>
              <w:t>—</w:t>
            </w:r>
          </w:p>
        </w:tc>
        <w:tc>
          <w:tcPr>
            <w:tcW w:w="1000" w:type="dxa"/>
            <w:vAlign w:val="bottom"/>
          </w:tcPr>
          <w:p>
            <w:pPr>
              <w:jc w:val="right"/>
              <w:spacing w:after="0" w:line="110" w:lineRule="exact"/>
              <w:rPr>
                <w:sz w:val="20"/>
                <w:szCs w:val="20"/>
                <w:color w:val="auto"/>
              </w:rPr>
            </w:pPr>
            <w:r>
              <w:rPr>
                <w:rFonts w:ascii="Arial" w:cs="Arial" w:eastAsia="Arial" w:hAnsi="Arial"/>
                <w:sz w:val="10"/>
                <w:szCs w:val="10"/>
                <w:color w:val="auto"/>
              </w:rPr>
              <w:t>—</w:t>
            </w:r>
          </w:p>
        </w:tc>
      </w:tr>
      <w:tr>
        <w:trPr>
          <w:trHeight w:val="109"/>
        </w:trPr>
        <w:tc>
          <w:tcPr>
            <w:tcW w:w="2320" w:type="dxa"/>
            <w:vAlign w:val="bottom"/>
          </w:tcPr>
          <w:p>
            <w:pPr>
              <w:spacing w:after="0" w:line="110" w:lineRule="exact"/>
              <w:rPr>
                <w:sz w:val="20"/>
                <w:szCs w:val="20"/>
                <w:color w:val="auto"/>
              </w:rPr>
            </w:pPr>
            <w:r>
              <w:rPr>
                <w:rFonts w:ascii="Arial" w:cs="Arial" w:eastAsia="Arial" w:hAnsi="Arial"/>
                <w:sz w:val="10"/>
                <w:szCs w:val="10"/>
                <w:color w:val="auto"/>
              </w:rPr>
              <w:t>Jacqueline C. Hinman</w:t>
            </w:r>
          </w:p>
        </w:tc>
        <w:tc>
          <w:tcPr>
            <w:tcW w:w="3620" w:type="dxa"/>
            <w:vAlign w:val="bottom"/>
          </w:tcPr>
          <w:p>
            <w:pPr>
              <w:jc w:val="right"/>
              <w:ind w:right="491"/>
              <w:spacing w:after="0" w:line="110" w:lineRule="exact"/>
              <w:rPr>
                <w:sz w:val="20"/>
                <w:szCs w:val="20"/>
                <w:color w:val="auto"/>
              </w:rPr>
            </w:pPr>
            <w:r>
              <w:rPr>
                <w:rFonts w:ascii="Arial" w:cs="Arial" w:eastAsia="Arial" w:hAnsi="Arial"/>
                <w:sz w:val="10"/>
                <w:szCs w:val="10"/>
                <w:color w:val="auto"/>
              </w:rPr>
              <w:t>4,396</w:t>
            </w:r>
          </w:p>
        </w:tc>
        <w:tc>
          <w:tcPr>
            <w:tcW w:w="1540" w:type="dxa"/>
            <w:vAlign w:val="bottom"/>
          </w:tcPr>
          <w:p>
            <w:pPr>
              <w:jc w:val="right"/>
              <w:ind w:right="491"/>
              <w:spacing w:after="0" w:line="110" w:lineRule="exact"/>
              <w:rPr>
                <w:sz w:val="20"/>
                <w:szCs w:val="20"/>
                <w:color w:val="auto"/>
              </w:rPr>
            </w:pPr>
            <w:r>
              <w:rPr>
                <w:rFonts w:ascii="Arial" w:cs="Arial" w:eastAsia="Arial" w:hAnsi="Arial"/>
                <w:sz w:val="10"/>
                <w:szCs w:val="10"/>
                <w:color w:val="auto"/>
              </w:rPr>
              <w:t>—</w:t>
            </w:r>
          </w:p>
        </w:tc>
        <w:tc>
          <w:tcPr>
            <w:tcW w:w="1000" w:type="dxa"/>
            <w:vAlign w:val="bottom"/>
          </w:tcPr>
          <w:p>
            <w:pPr>
              <w:jc w:val="right"/>
              <w:spacing w:after="0" w:line="110" w:lineRule="exact"/>
              <w:rPr>
                <w:sz w:val="20"/>
                <w:szCs w:val="20"/>
                <w:color w:val="auto"/>
              </w:rPr>
            </w:pPr>
            <w:r>
              <w:rPr>
                <w:rFonts w:ascii="Arial" w:cs="Arial" w:eastAsia="Arial" w:hAnsi="Arial"/>
                <w:sz w:val="10"/>
                <w:szCs w:val="10"/>
                <w:color w:val="auto"/>
              </w:rPr>
              <w:t>—</w:t>
            </w:r>
          </w:p>
        </w:tc>
      </w:tr>
      <w:tr>
        <w:trPr>
          <w:trHeight w:val="109"/>
        </w:trPr>
        <w:tc>
          <w:tcPr>
            <w:tcW w:w="2320" w:type="dxa"/>
            <w:vAlign w:val="bottom"/>
          </w:tcPr>
          <w:p>
            <w:pPr>
              <w:spacing w:after="0" w:line="110" w:lineRule="exact"/>
              <w:rPr>
                <w:sz w:val="20"/>
                <w:szCs w:val="20"/>
                <w:color w:val="auto"/>
              </w:rPr>
            </w:pPr>
            <w:r>
              <w:rPr>
                <w:rFonts w:ascii="Arial" w:cs="Arial" w:eastAsia="Arial" w:hAnsi="Arial"/>
                <w:sz w:val="10"/>
                <w:szCs w:val="10"/>
                <w:color w:val="auto"/>
              </w:rPr>
              <w:t>Steven A. Kandarian</w:t>
            </w:r>
          </w:p>
        </w:tc>
        <w:tc>
          <w:tcPr>
            <w:tcW w:w="3620" w:type="dxa"/>
            <w:vAlign w:val="bottom"/>
          </w:tcPr>
          <w:p>
            <w:pPr>
              <w:jc w:val="right"/>
              <w:ind w:right="491"/>
              <w:spacing w:after="0" w:line="110" w:lineRule="exact"/>
              <w:rPr>
                <w:sz w:val="20"/>
                <w:szCs w:val="20"/>
                <w:color w:val="auto"/>
              </w:rPr>
            </w:pPr>
            <w:r>
              <w:rPr>
                <w:rFonts w:ascii="Arial" w:cs="Arial" w:eastAsia="Arial" w:hAnsi="Arial"/>
                <w:sz w:val="10"/>
                <w:szCs w:val="10"/>
                <w:color w:val="auto"/>
              </w:rPr>
              <w:t>4,396</w:t>
            </w:r>
          </w:p>
        </w:tc>
        <w:tc>
          <w:tcPr>
            <w:tcW w:w="1540" w:type="dxa"/>
            <w:vAlign w:val="bottom"/>
          </w:tcPr>
          <w:p>
            <w:pPr>
              <w:jc w:val="right"/>
              <w:ind w:right="491"/>
              <w:spacing w:after="0" w:line="110" w:lineRule="exact"/>
              <w:rPr>
                <w:sz w:val="20"/>
                <w:szCs w:val="20"/>
                <w:color w:val="auto"/>
              </w:rPr>
            </w:pPr>
            <w:r>
              <w:rPr>
                <w:rFonts w:ascii="Arial" w:cs="Arial" w:eastAsia="Arial" w:hAnsi="Arial"/>
                <w:sz w:val="10"/>
                <w:szCs w:val="10"/>
                <w:color w:val="auto"/>
              </w:rPr>
              <w:t>—</w:t>
            </w:r>
          </w:p>
        </w:tc>
        <w:tc>
          <w:tcPr>
            <w:tcW w:w="1000" w:type="dxa"/>
            <w:vAlign w:val="bottom"/>
          </w:tcPr>
          <w:p>
            <w:pPr>
              <w:jc w:val="right"/>
              <w:spacing w:after="0" w:line="110" w:lineRule="exact"/>
              <w:rPr>
                <w:sz w:val="20"/>
                <w:szCs w:val="20"/>
                <w:color w:val="auto"/>
              </w:rPr>
            </w:pPr>
            <w:r>
              <w:rPr>
                <w:rFonts w:ascii="Arial" w:cs="Arial" w:eastAsia="Arial" w:hAnsi="Arial"/>
                <w:sz w:val="10"/>
                <w:szCs w:val="10"/>
                <w:color w:val="auto"/>
              </w:rPr>
              <w:t>—</w:t>
            </w:r>
          </w:p>
        </w:tc>
      </w:tr>
      <w:tr>
        <w:trPr>
          <w:trHeight w:val="109"/>
        </w:trPr>
        <w:tc>
          <w:tcPr>
            <w:tcW w:w="2320" w:type="dxa"/>
            <w:vAlign w:val="bottom"/>
          </w:tcPr>
          <w:p>
            <w:pPr>
              <w:spacing w:after="0" w:line="110" w:lineRule="exact"/>
              <w:rPr>
                <w:sz w:val="20"/>
                <w:szCs w:val="20"/>
                <w:color w:val="auto"/>
              </w:rPr>
            </w:pPr>
            <w:r>
              <w:rPr>
                <w:rFonts w:ascii="Arial" w:cs="Arial" w:eastAsia="Arial" w:hAnsi="Arial"/>
                <w:sz w:val="10"/>
                <w:szCs w:val="10"/>
                <w:color w:val="auto"/>
              </w:rPr>
              <w:t>Dr. Robert J. Routs</w:t>
            </w:r>
          </w:p>
        </w:tc>
        <w:tc>
          <w:tcPr>
            <w:tcW w:w="3620" w:type="dxa"/>
            <w:vAlign w:val="bottom"/>
          </w:tcPr>
          <w:p>
            <w:pPr>
              <w:jc w:val="right"/>
              <w:ind w:right="491"/>
              <w:spacing w:after="0" w:line="110" w:lineRule="exact"/>
              <w:rPr>
                <w:sz w:val="20"/>
                <w:szCs w:val="20"/>
                <w:color w:val="auto"/>
              </w:rPr>
            </w:pPr>
            <w:r>
              <w:rPr>
                <w:rFonts w:ascii="Arial" w:cs="Arial" w:eastAsia="Arial" w:hAnsi="Arial"/>
                <w:sz w:val="10"/>
                <w:szCs w:val="10"/>
                <w:color w:val="auto"/>
              </w:rPr>
              <w:t>4,396</w:t>
            </w:r>
          </w:p>
        </w:tc>
        <w:tc>
          <w:tcPr>
            <w:tcW w:w="1540" w:type="dxa"/>
            <w:vAlign w:val="bottom"/>
          </w:tcPr>
          <w:p>
            <w:pPr>
              <w:jc w:val="right"/>
              <w:ind w:right="491"/>
              <w:spacing w:after="0" w:line="110" w:lineRule="exact"/>
              <w:rPr>
                <w:sz w:val="20"/>
                <w:szCs w:val="20"/>
                <w:color w:val="auto"/>
              </w:rPr>
            </w:pPr>
            <w:r>
              <w:rPr>
                <w:rFonts w:ascii="Arial" w:cs="Arial" w:eastAsia="Arial" w:hAnsi="Arial"/>
                <w:sz w:val="10"/>
                <w:szCs w:val="10"/>
                <w:color w:val="auto"/>
              </w:rPr>
              <w:t>—</w:t>
            </w:r>
          </w:p>
        </w:tc>
        <w:tc>
          <w:tcPr>
            <w:tcW w:w="1000" w:type="dxa"/>
            <w:vAlign w:val="bottom"/>
          </w:tcPr>
          <w:p>
            <w:pPr>
              <w:jc w:val="right"/>
              <w:spacing w:after="0" w:line="110" w:lineRule="exact"/>
              <w:rPr>
                <w:sz w:val="20"/>
                <w:szCs w:val="20"/>
                <w:color w:val="auto"/>
              </w:rPr>
            </w:pPr>
            <w:r>
              <w:rPr>
                <w:rFonts w:ascii="Arial" w:cs="Arial" w:eastAsia="Arial" w:hAnsi="Arial"/>
                <w:sz w:val="10"/>
                <w:szCs w:val="10"/>
                <w:color w:val="auto"/>
              </w:rPr>
              <w:t>—</w:t>
            </w:r>
          </w:p>
        </w:tc>
      </w:tr>
      <w:tr>
        <w:trPr>
          <w:trHeight w:val="109"/>
        </w:trPr>
        <w:tc>
          <w:tcPr>
            <w:tcW w:w="2320" w:type="dxa"/>
            <w:vAlign w:val="bottom"/>
          </w:tcPr>
          <w:p>
            <w:pPr>
              <w:spacing w:after="0" w:line="110" w:lineRule="exact"/>
              <w:rPr>
                <w:sz w:val="20"/>
                <w:szCs w:val="20"/>
                <w:color w:val="auto"/>
              </w:rPr>
            </w:pPr>
            <w:r>
              <w:rPr>
                <w:rFonts w:ascii="Arial" w:cs="Arial" w:eastAsia="Arial" w:hAnsi="Arial"/>
                <w:sz w:val="10"/>
                <w:szCs w:val="10"/>
                <w:color w:val="auto"/>
              </w:rPr>
              <w:t>Clarence T. Schmitz</w:t>
            </w:r>
          </w:p>
        </w:tc>
        <w:tc>
          <w:tcPr>
            <w:tcW w:w="3620" w:type="dxa"/>
            <w:vAlign w:val="bottom"/>
          </w:tcPr>
          <w:p>
            <w:pPr>
              <w:jc w:val="right"/>
              <w:ind w:right="491"/>
              <w:spacing w:after="0" w:line="110" w:lineRule="exact"/>
              <w:rPr>
                <w:sz w:val="20"/>
                <w:szCs w:val="20"/>
                <w:color w:val="auto"/>
              </w:rPr>
            </w:pPr>
            <w:r>
              <w:rPr>
                <w:rFonts w:ascii="Arial" w:cs="Arial" w:eastAsia="Arial" w:hAnsi="Arial"/>
                <w:sz w:val="10"/>
                <w:szCs w:val="10"/>
                <w:color w:val="auto"/>
              </w:rPr>
              <w:t>4,396</w:t>
            </w:r>
          </w:p>
        </w:tc>
        <w:tc>
          <w:tcPr>
            <w:tcW w:w="1540" w:type="dxa"/>
            <w:vAlign w:val="bottom"/>
          </w:tcPr>
          <w:p>
            <w:pPr>
              <w:jc w:val="right"/>
              <w:ind w:right="491"/>
              <w:spacing w:after="0" w:line="110" w:lineRule="exact"/>
              <w:rPr>
                <w:sz w:val="20"/>
                <w:szCs w:val="20"/>
                <w:color w:val="auto"/>
              </w:rPr>
            </w:pPr>
            <w:r>
              <w:rPr>
                <w:rFonts w:ascii="Arial" w:cs="Arial" w:eastAsia="Arial" w:hAnsi="Arial"/>
                <w:sz w:val="10"/>
                <w:szCs w:val="10"/>
                <w:color w:val="auto"/>
              </w:rPr>
              <w:t>—</w:t>
            </w:r>
          </w:p>
        </w:tc>
        <w:tc>
          <w:tcPr>
            <w:tcW w:w="1000" w:type="dxa"/>
            <w:vAlign w:val="bottom"/>
          </w:tcPr>
          <w:p>
            <w:pPr>
              <w:jc w:val="right"/>
              <w:spacing w:after="0" w:line="110" w:lineRule="exact"/>
              <w:rPr>
                <w:sz w:val="20"/>
                <w:szCs w:val="20"/>
                <w:color w:val="auto"/>
              </w:rPr>
            </w:pPr>
            <w:r>
              <w:rPr>
                <w:rFonts w:ascii="Arial" w:cs="Arial" w:eastAsia="Arial" w:hAnsi="Arial"/>
                <w:sz w:val="10"/>
                <w:szCs w:val="10"/>
                <w:color w:val="auto"/>
              </w:rPr>
              <w:t>—</w:t>
            </w:r>
          </w:p>
        </w:tc>
      </w:tr>
      <w:tr>
        <w:trPr>
          <w:trHeight w:val="109"/>
        </w:trPr>
        <w:tc>
          <w:tcPr>
            <w:tcW w:w="2320" w:type="dxa"/>
            <w:vAlign w:val="bottom"/>
          </w:tcPr>
          <w:p>
            <w:pPr>
              <w:spacing w:after="0" w:line="110" w:lineRule="exact"/>
              <w:rPr>
                <w:sz w:val="20"/>
                <w:szCs w:val="20"/>
                <w:color w:val="auto"/>
              </w:rPr>
            </w:pPr>
            <w:r>
              <w:rPr>
                <w:rFonts w:ascii="Arial" w:cs="Arial" w:eastAsia="Arial" w:hAnsi="Arial"/>
                <w:sz w:val="10"/>
                <w:szCs w:val="10"/>
                <w:color w:val="auto"/>
              </w:rPr>
              <w:t>Douglas W. Stotlar</w:t>
            </w:r>
          </w:p>
        </w:tc>
        <w:tc>
          <w:tcPr>
            <w:tcW w:w="3620" w:type="dxa"/>
            <w:vAlign w:val="bottom"/>
          </w:tcPr>
          <w:p>
            <w:pPr>
              <w:jc w:val="right"/>
              <w:ind w:right="491"/>
              <w:spacing w:after="0" w:line="110" w:lineRule="exact"/>
              <w:rPr>
                <w:sz w:val="20"/>
                <w:szCs w:val="20"/>
                <w:color w:val="auto"/>
              </w:rPr>
            </w:pPr>
            <w:r>
              <w:rPr>
                <w:rFonts w:ascii="Arial" w:cs="Arial" w:eastAsia="Arial" w:hAnsi="Arial"/>
                <w:sz w:val="10"/>
                <w:szCs w:val="10"/>
                <w:color w:val="auto"/>
              </w:rPr>
              <w:t>4,396</w:t>
            </w:r>
          </w:p>
        </w:tc>
        <w:tc>
          <w:tcPr>
            <w:tcW w:w="1540" w:type="dxa"/>
            <w:vAlign w:val="bottom"/>
          </w:tcPr>
          <w:p>
            <w:pPr>
              <w:jc w:val="right"/>
              <w:ind w:right="491"/>
              <w:spacing w:after="0" w:line="110" w:lineRule="exact"/>
              <w:rPr>
                <w:sz w:val="20"/>
                <w:szCs w:val="20"/>
                <w:color w:val="auto"/>
              </w:rPr>
            </w:pPr>
            <w:r>
              <w:rPr>
                <w:rFonts w:ascii="Arial" w:cs="Arial" w:eastAsia="Arial" w:hAnsi="Arial"/>
                <w:sz w:val="10"/>
                <w:szCs w:val="10"/>
                <w:color w:val="auto"/>
              </w:rPr>
              <w:t>—</w:t>
            </w:r>
          </w:p>
        </w:tc>
        <w:tc>
          <w:tcPr>
            <w:tcW w:w="1000" w:type="dxa"/>
            <w:vAlign w:val="bottom"/>
          </w:tcPr>
          <w:p>
            <w:pPr>
              <w:jc w:val="right"/>
              <w:spacing w:after="0" w:line="110" w:lineRule="exact"/>
              <w:rPr>
                <w:sz w:val="20"/>
                <w:szCs w:val="20"/>
                <w:color w:val="auto"/>
              </w:rPr>
            </w:pPr>
            <w:r>
              <w:rPr>
                <w:rFonts w:ascii="Arial" w:cs="Arial" w:eastAsia="Arial" w:hAnsi="Arial"/>
                <w:sz w:val="10"/>
                <w:szCs w:val="10"/>
                <w:color w:val="auto"/>
              </w:rPr>
              <w:t>—</w:t>
            </w:r>
          </w:p>
        </w:tc>
      </w:tr>
      <w:tr>
        <w:trPr>
          <w:trHeight w:val="109"/>
        </w:trPr>
        <w:tc>
          <w:tcPr>
            <w:tcW w:w="2320" w:type="dxa"/>
            <w:vAlign w:val="bottom"/>
          </w:tcPr>
          <w:p>
            <w:pPr>
              <w:spacing w:after="0" w:line="110" w:lineRule="exact"/>
              <w:rPr>
                <w:sz w:val="20"/>
                <w:szCs w:val="20"/>
                <w:color w:val="auto"/>
              </w:rPr>
            </w:pPr>
            <w:r>
              <w:rPr>
                <w:rFonts w:ascii="Arial" w:cs="Arial" w:eastAsia="Arial" w:hAnsi="Arial"/>
                <w:sz w:val="10"/>
                <w:szCs w:val="10"/>
                <w:color w:val="auto"/>
              </w:rPr>
              <w:t>Daniel R. Tishman</w:t>
            </w:r>
          </w:p>
        </w:tc>
        <w:tc>
          <w:tcPr>
            <w:tcW w:w="3620" w:type="dxa"/>
            <w:vAlign w:val="bottom"/>
          </w:tcPr>
          <w:p>
            <w:pPr>
              <w:jc w:val="right"/>
              <w:ind w:right="491"/>
              <w:spacing w:after="0" w:line="110" w:lineRule="exact"/>
              <w:rPr>
                <w:sz w:val="20"/>
                <w:szCs w:val="20"/>
                <w:color w:val="auto"/>
              </w:rPr>
            </w:pPr>
            <w:r>
              <w:rPr>
                <w:rFonts w:ascii="Arial" w:cs="Arial" w:eastAsia="Arial" w:hAnsi="Arial"/>
                <w:sz w:val="10"/>
                <w:szCs w:val="10"/>
                <w:color w:val="auto"/>
              </w:rPr>
              <w:t>4,396</w:t>
            </w:r>
          </w:p>
        </w:tc>
        <w:tc>
          <w:tcPr>
            <w:tcW w:w="1540" w:type="dxa"/>
            <w:vAlign w:val="bottom"/>
          </w:tcPr>
          <w:p>
            <w:pPr>
              <w:jc w:val="right"/>
              <w:ind w:right="491"/>
              <w:spacing w:after="0" w:line="110" w:lineRule="exact"/>
              <w:rPr>
                <w:sz w:val="20"/>
                <w:szCs w:val="20"/>
                <w:color w:val="auto"/>
              </w:rPr>
            </w:pPr>
            <w:r>
              <w:rPr>
                <w:rFonts w:ascii="Arial" w:cs="Arial" w:eastAsia="Arial" w:hAnsi="Arial"/>
                <w:sz w:val="10"/>
                <w:szCs w:val="10"/>
                <w:color w:val="auto"/>
              </w:rPr>
              <w:t>3,791</w:t>
            </w:r>
          </w:p>
        </w:tc>
        <w:tc>
          <w:tcPr>
            <w:tcW w:w="1000" w:type="dxa"/>
            <w:vAlign w:val="bottom"/>
          </w:tcPr>
          <w:p>
            <w:pPr>
              <w:jc w:val="right"/>
              <w:spacing w:after="0" w:line="110" w:lineRule="exact"/>
              <w:rPr>
                <w:sz w:val="20"/>
                <w:szCs w:val="20"/>
                <w:color w:val="auto"/>
              </w:rPr>
            </w:pPr>
            <w:r>
              <w:rPr>
                <w:rFonts w:ascii="Arial" w:cs="Arial" w:eastAsia="Arial" w:hAnsi="Arial"/>
                <w:sz w:val="10"/>
                <w:szCs w:val="10"/>
                <w:color w:val="auto"/>
              </w:rPr>
              <w:t>5,687</w:t>
            </w:r>
          </w:p>
        </w:tc>
      </w:tr>
      <w:tr>
        <w:trPr>
          <w:trHeight w:val="130"/>
        </w:trPr>
        <w:tc>
          <w:tcPr>
            <w:tcW w:w="2320" w:type="dxa"/>
            <w:vAlign w:val="bottom"/>
          </w:tcPr>
          <w:p>
            <w:pPr>
              <w:spacing w:after="0"/>
              <w:rPr>
                <w:sz w:val="20"/>
                <w:szCs w:val="20"/>
                <w:color w:val="auto"/>
              </w:rPr>
            </w:pPr>
            <w:r>
              <w:rPr>
                <w:rFonts w:ascii="Arial" w:cs="Arial" w:eastAsia="Arial" w:hAnsi="Arial"/>
                <w:sz w:val="10"/>
                <w:szCs w:val="10"/>
                <w:color w:val="auto"/>
              </w:rPr>
              <w:t>General Janet C. Wolfenbarger</w:t>
            </w:r>
          </w:p>
        </w:tc>
        <w:tc>
          <w:tcPr>
            <w:tcW w:w="3620" w:type="dxa"/>
            <w:vAlign w:val="bottom"/>
          </w:tcPr>
          <w:p>
            <w:pPr>
              <w:jc w:val="right"/>
              <w:ind w:right="491"/>
              <w:spacing w:after="0"/>
              <w:rPr>
                <w:sz w:val="20"/>
                <w:szCs w:val="20"/>
                <w:color w:val="auto"/>
              </w:rPr>
            </w:pPr>
            <w:r>
              <w:rPr>
                <w:rFonts w:ascii="Arial" w:cs="Arial" w:eastAsia="Arial" w:hAnsi="Arial"/>
                <w:sz w:val="10"/>
                <w:szCs w:val="10"/>
                <w:color w:val="auto"/>
              </w:rPr>
              <w:t>4,396</w:t>
            </w:r>
          </w:p>
        </w:tc>
        <w:tc>
          <w:tcPr>
            <w:tcW w:w="1540" w:type="dxa"/>
            <w:vAlign w:val="bottom"/>
          </w:tcPr>
          <w:p>
            <w:pPr>
              <w:jc w:val="right"/>
              <w:ind w:right="491"/>
              <w:spacing w:after="0"/>
              <w:rPr>
                <w:sz w:val="20"/>
                <w:szCs w:val="20"/>
                <w:color w:val="auto"/>
              </w:rPr>
            </w:pPr>
            <w:r>
              <w:rPr>
                <w:rFonts w:ascii="Arial" w:cs="Arial" w:eastAsia="Arial" w:hAnsi="Arial"/>
                <w:sz w:val="10"/>
                <w:szCs w:val="10"/>
                <w:color w:val="auto"/>
              </w:rPr>
              <w:t>—</w:t>
            </w: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61"/>
        </w:trPr>
        <w:tc>
          <w:tcPr>
            <w:tcW w:w="2320" w:type="dxa"/>
            <w:vAlign w:val="bottom"/>
            <w:tcBorders>
              <w:bottom w:val="single" w:sz="8" w:color="auto"/>
            </w:tcBorders>
          </w:tcPr>
          <w:p>
            <w:pPr>
              <w:spacing w:after="0"/>
              <w:rPr>
                <w:sz w:val="5"/>
                <w:szCs w:val="5"/>
                <w:color w:val="auto"/>
              </w:rPr>
            </w:pPr>
          </w:p>
        </w:tc>
        <w:tc>
          <w:tcPr>
            <w:tcW w:w="36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0" w:type="dxa"/>
            <w:vAlign w:val="bottom"/>
          </w:tcPr>
          <w:p>
            <w:pPr>
              <w:spacing w:after="0"/>
              <w:rPr>
                <w:sz w:val="5"/>
                <w:szCs w:val="5"/>
                <w:color w:val="auto"/>
              </w:rPr>
            </w:pPr>
          </w:p>
        </w:tc>
      </w:tr>
    </w:tbl>
    <w:p>
      <w:pPr>
        <w:spacing w:after="0" w:line="143" w:lineRule="exact"/>
        <w:rPr>
          <w:sz w:val="20"/>
          <w:szCs w:val="20"/>
          <w:color w:val="auto"/>
        </w:rPr>
      </w:pPr>
    </w:p>
    <w:p>
      <w:pPr>
        <w:ind w:left="5580" w:right="2359" w:hanging="4231"/>
        <w:spacing w:after="0" w:line="528" w:lineRule="auto"/>
        <w:tabs>
          <w:tab w:leader="none" w:pos="1716" w:val="left"/>
        </w:tabs>
        <w:numPr>
          <w:ilvl w:val="0"/>
          <w:numId w:val="68"/>
        </w:numPr>
        <w:rPr>
          <w:rFonts w:ascii="Arial" w:cs="Arial" w:eastAsia="Arial" w:hAnsi="Arial"/>
          <w:sz w:val="12"/>
          <w:szCs w:val="12"/>
          <w:color w:val="auto"/>
        </w:rPr>
      </w:pPr>
      <w:r>
        <w:rPr>
          <w:rFonts w:ascii="Arial" w:cs="Arial" w:eastAsia="Arial" w:hAnsi="Arial"/>
          <w:sz w:val="12"/>
          <w:szCs w:val="12"/>
          <w:color w:val="auto"/>
        </w:rPr>
        <w:t>For Mr. Tishman, reflects unvested RSUs and PEPs from previous grants received as an employee of the Company.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-22225</wp:posOffset>
            </wp:positionV>
            <wp:extent cx="7183755" cy="184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159"/>
          </w:cols>
          <w:pgMar w:left="300" w:top="128" w:right="1440" w:bottom="1440" w:gutter="0" w:footer="0" w:header="0"/>
        </w:sectPr>
      </w:pPr>
    </w:p>
    <w:bookmarkStart w:id="97" w:name="page98"/>
    <w:bookmarkEnd w:id="97"/>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COMPENSATION COMMITTEE INTERLOCKS AND INSIDER PARTICIPATION</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The members of the Compensation Committee of our Board in fiscal year 2020 were Steven A. Kandarian (Chair), Bradley W. Buss, Jacqueline C. Hinman, Dr. Robert J. Routs and Clarence T. Schmitz. James H. Fordyce and Linda Griego also served for the portion of fiscal year 2020. None of the current or former members of the Compensation Committee of our Board during fiscal year 2020 were or currently are a current or former officer or employee of the Company, or have had any relationships requiring disclosure under Item 404(a) of Regulation S-K. No executive officer of the Company serves or served during fiscal year 2020 as a member of the Board or Compensation Committee of any entity that has one or more executive officers serving on our Compensation Committee.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8" w:name="page99"/>
    <w:bookmarkEnd w:id="98"/>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REPORT OF THE AUDIT COMMITTEE OF THE BOARD OF DIRECTORS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Audit Committee is comprised of non-employee directors, all of whom are "independent" under the applicable listing standards of the NYSE and the applicable rules of the SEC. The Audit Committee is governed by a written charter, as amended and restated, which has been adopted by the Board. A copy of the current Audit Committee Charter is available for viewing on the "Corporate Governance" area of the "Investors" section of our website at www.aecom.com</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Management of the Company is responsible for the preparation, presentation, and integrity of the consolidated financial statements, maintaining a system of internal controls and having appropriate accounting and financial reporting principles and policies. The independent registered public accounting firm is responsible for planning and carrying out an audit of the consolidated financial statements and an audit of internal control over financial reporting in accordance with the rules of the Public Company Accounting Oversight Board (United States) and expressing an opinion as to the consolidated financial statements' conformity with U.S. generally accepted accounting principles ("GAAP") and as to internal control over financial reporting. The Audit Committee monitors and oversees these processes and is responsible for selecting and overseeing the Company's independent registered public accounting firm.</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As part of the oversight process, the Audit Committee met five times during fiscal year 2020. Throughout the year, the Audit Committee met with the Company's independent registered public accounting firm, management and internal auditors, both together and separately in closed sessions, to review accounting, auditing, internal controls and financial reporting matters. In the course of fulfilling its responsibilities, the Audit Committee did, among other things, the following:</w:t>
      </w:r>
    </w:p>
    <w:p>
      <w:pPr>
        <w:spacing w:after="0" w:line="114" w:lineRule="exact"/>
        <w:rPr>
          <w:sz w:val="20"/>
          <w:szCs w:val="20"/>
          <w:color w:val="auto"/>
        </w:rPr>
      </w:pPr>
    </w:p>
    <w:p>
      <w:pPr>
        <w:ind w:left="720" w:hanging="362"/>
        <w:spacing w:after="0" w:line="321" w:lineRule="auto"/>
        <w:tabs>
          <w:tab w:leader="none" w:pos="720" w:val="left"/>
        </w:tabs>
        <w:numPr>
          <w:ilvl w:val="0"/>
          <w:numId w:val="69"/>
        </w:numPr>
        <w:rPr>
          <w:rFonts w:ascii="Arial" w:cs="Arial" w:eastAsia="Arial" w:hAnsi="Arial"/>
          <w:sz w:val="11"/>
          <w:szCs w:val="11"/>
          <w:color w:val="auto"/>
        </w:rPr>
      </w:pPr>
      <w:r>
        <w:rPr>
          <w:rFonts w:ascii="Arial" w:cs="Arial" w:eastAsia="Arial" w:hAnsi="Arial"/>
          <w:sz w:val="11"/>
          <w:szCs w:val="11"/>
          <w:color w:val="auto"/>
        </w:rPr>
        <w:t>reviewed and evaluated the performance and quality of Ernst &amp; Young LLP, the Company's independent registered public accounting firm, and its lead audit partner in its determination to recommend the retention of Ernst &amp; Young LLP, including by assessing the performance of Ernst &amp; Young LLP from within the Audit Committee and from the perspective of senior management and the internal auditor;</w:t>
      </w:r>
    </w:p>
    <w:p>
      <w:pPr>
        <w:spacing w:after="0" w:line="80" w:lineRule="exact"/>
        <w:rPr>
          <w:rFonts w:ascii="Arial" w:cs="Arial" w:eastAsia="Arial" w:hAnsi="Arial"/>
          <w:sz w:val="11"/>
          <w:szCs w:val="11"/>
          <w:color w:val="auto"/>
        </w:rPr>
      </w:pPr>
    </w:p>
    <w:p>
      <w:pPr>
        <w:ind w:left="720" w:hanging="362"/>
        <w:spacing w:after="0"/>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considered whether the provision of non-audit services by Ernst &amp; Young LLP to the Company is compatible with maintaining the registered public accounting firm's independence;</w:t>
      </w:r>
    </w:p>
    <w:p>
      <w:pPr>
        <w:spacing w:after="0" w:line="135" w:lineRule="exact"/>
        <w:rPr>
          <w:rFonts w:ascii="Arial" w:cs="Arial" w:eastAsia="Arial" w:hAnsi="Arial"/>
          <w:sz w:val="12"/>
          <w:szCs w:val="12"/>
          <w:color w:val="auto"/>
        </w:rPr>
      </w:pPr>
    </w:p>
    <w:p>
      <w:pPr>
        <w:ind w:left="720" w:hanging="362"/>
        <w:spacing w:after="0" w:line="274" w:lineRule="auto"/>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reviewed and discussed with management and Ernst &amp; Young LLP the audited consolidated financial statements for the year ended September 30, 2020 and unaudited consolidated financial statements for the quarters ended December 31, 2019, March 31, 2020, and June 30, 2020;</w:t>
      </w:r>
    </w:p>
    <w:p>
      <w:pPr>
        <w:spacing w:after="0" w:line="95" w:lineRule="exact"/>
        <w:rPr>
          <w:rFonts w:ascii="Arial" w:cs="Arial" w:eastAsia="Arial" w:hAnsi="Arial"/>
          <w:sz w:val="12"/>
          <w:szCs w:val="12"/>
          <w:color w:val="auto"/>
        </w:rPr>
      </w:pPr>
    </w:p>
    <w:p>
      <w:pPr>
        <w:ind w:left="720" w:right="20" w:hanging="362"/>
        <w:spacing w:after="0" w:line="274" w:lineRule="auto"/>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reviewed management's representations that the Company's consolidated financial statements were prepared in accordance with GAAP and present fairly the results of operations and financial position of the Company;</w:t>
      </w:r>
    </w:p>
    <w:p>
      <w:pPr>
        <w:spacing w:after="0" w:line="104" w:lineRule="exact"/>
        <w:rPr>
          <w:rFonts w:ascii="Arial" w:cs="Arial" w:eastAsia="Arial" w:hAnsi="Arial"/>
          <w:sz w:val="12"/>
          <w:szCs w:val="12"/>
          <w:color w:val="auto"/>
        </w:rPr>
      </w:pPr>
    </w:p>
    <w:p>
      <w:pPr>
        <w:ind w:left="720" w:hanging="362"/>
        <w:spacing w:after="0" w:line="274" w:lineRule="auto"/>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discussed with Ernst &amp; Young LLP the matters required to be discussed by PCAOB Auditing Standard No. 16, Communications with Audit Committees, as modified or supplemented and the overall scope and plans for the annual audit, the results of their examinations, their evaluation of the Company's internal controls and the overall quality of the Company's financial reporting;</w:t>
      </w:r>
    </w:p>
    <w:p>
      <w:pPr>
        <w:spacing w:after="0" w:line="95" w:lineRule="exact"/>
        <w:rPr>
          <w:rFonts w:ascii="Arial" w:cs="Arial" w:eastAsia="Arial" w:hAnsi="Arial"/>
          <w:sz w:val="12"/>
          <w:szCs w:val="12"/>
          <w:color w:val="auto"/>
        </w:rPr>
      </w:pPr>
    </w:p>
    <w:p>
      <w:pPr>
        <w:ind w:left="720" w:right="20" w:hanging="362"/>
        <w:spacing w:after="0" w:line="274" w:lineRule="auto"/>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received the written disclosures and letter from Ernst &amp; Young LLP required by the applicable requirements of the Public Company Accounting Oversight Board regarding Ernst &amp; Young LLP's communication with the Audit Committee concerning independence, and discussed with Ernst &amp; Young LLP its independence;</w:t>
      </w:r>
    </w:p>
    <w:p>
      <w:pPr>
        <w:spacing w:after="0" w:line="95" w:lineRule="exact"/>
        <w:rPr>
          <w:rFonts w:ascii="Arial" w:cs="Arial" w:eastAsia="Arial" w:hAnsi="Arial"/>
          <w:sz w:val="12"/>
          <w:szCs w:val="12"/>
          <w:color w:val="auto"/>
        </w:rPr>
      </w:pPr>
    </w:p>
    <w:p>
      <w:pPr>
        <w:ind w:left="720" w:hanging="362"/>
        <w:spacing w:after="0"/>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monitored the reporting system implemented to provide an anonymous complaint reporting procedure;</w:t>
      </w:r>
    </w:p>
    <w:p>
      <w:pPr>
        <w:spacing w:after="0" w:line="144" w:lineRule="exact"/>
        <w:rPr>
          <w:rFonts w:ascii="Arial" w:cs="Arial" w:eastAsia="Arial" w:hAnsi="Arial"/>
          <w:sz w:val="12"/>
          <w:szCs w:val="12"/>
          <w:color w:val="auto"/>
        </w:rPr>
      </w:pPr>
    </w:p>
    <w:p>
      <w:pPr>
        <w:ind w:left="720" w:hanging="362"/>
        <w:spacing w:after="0"/>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reviewed the scope of and overall plans for the annual audit and the internal audit program;</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reviewed new accounting standards applicable to the Company with the Company's Chief Financial Officer, internal audit department and Ernst &amp; Young LLP;</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consulted with management and Ernst &amp; Young LLP with respect to the Company's processes for risk assessment and risk mitigation;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9" w:name="page100"/>
    <w:bookmarkEnd w:id="99"/>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ind w:left="720" w:hanging="362"/>
        <w:spacing w:after="0"/>
        <w:tabs>
          <w:tab w:leader="none" w:pos="7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reviewed the Company's cybersecurity and data privacy risks and the Company's policies and controls designed to mitigate these risks; and</w:t>
      </w:r>
    </w:p>
    <w:p>
      <w:pPr>
        <w:spacing w:after="0" w:line="144" w:lineRule="exact"/>
        <w:rPr>
          <w:rFonts w:ascii="Arial" w:cs="Arial" w:eastAsia="Arial" w:hAnsi="Arial"/>
          <w:sz w:val="12"/>
          <w:szCs w:val="12"/>
          <w:color w:val="auto"/>
        </w:rPr>
      </w:pPr>
    </w:p>
    <w:p>
      <w:pPr>
        <w:ind w:left="720" w:right="20" w:hanging="362"/>
        <w:spacing w:after="0" w:line="274" w:lineRule="auto"/>
        <w:tabs>
          <w:tab w:leader="none" w:pos="7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reviewed the implementation and effectiveness of the Company's ethics and compliance program, including processes for monitoring compliance with the law, Company policies and the Code of Business Conduct and Ethics.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The Audit Committee also met with representatives of management, the internal auditors, legal counsel and the Ernst &amp; Young LLP on a regular basis throughout the year to discuss the progress of management's testing and evaluation of the Company's system of internal control over financial reporting in response to the applicable requirements of the Sarbanes-Oxley Act of 2002 and related U.S. Securities and Exchange Commission regulations. At the conclusion of this process, the Audit Committee received from management its assessment and report on the effectiveness of the Company's internal controls over financial reporting. In addition, the Audit Committee received from Ernst &amp; Young LLP its attestation report on the Company's internal control over financial reporting. These assessments and reports are as of September 30, 2020. The Audit Committee reviewed and discussed the results of management's assessment and Ernst &amp; Young LLP's attestation.</w:t>
      </w:r>
    </w:p>
    <w:p>
      <w:pPr>
        <w:spacing w:after="0" w:line="119"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In reliance on the reviews and discussions referred to above, the Audit Committee recommended to the Board of Directors, and the Board has approved, that the audited consolidated financial statements be included in the Company's Annual Report on Form 10-K for the fiscal year ended September 30, 2020, for filing with the U.S. Securities and Exchange Commission. The Audit Committee also approved the appointment of Ernst &amp; Young LLP as the Company's independent registered public accountants for the fiscal year ending September 30, 2021, and recommended that the Board submit this appointment to the Company's stockholders for ratification at the 2021 Annual Meeting.</w:t>
      </w:r>
    </w:p>
    <w:p>
      <w:pPr>
        <w:spacing w:after="0" w:line="118"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Respectfully submitted,</w:t>
      </w:r>
    </w:p>
    <w:p>
      <w:pPr>
        <w:spacing w:after="0" w:line="163"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Clarence T. Schmitz, Chairman</w:t>
      </w:r>
    </w:p>
    <w:p>
      <w:pPr>
        <w:spacing w:after="0" w:line="11"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Robert G. Card</w:t>
      </w:r>
    </w:p>
    <w:p>
      <w:pPr>
        <w:ind w:left="5660"/>
        <w:spacing w:after="0" w:line="237" w:lineRule="auto"/>
        <w:rPr>
          <w:sz w:val="20"/>
          <w:szCs w:val="20"/>
          <w:color w:val="auto"/>
        </w:rPr>
      </w:pPr>
      <w:r>
        <w:rPr>
          <w:rFonts w:ascii="Arial" w:cs="Arial" w:eastAsia="Arial" w:hAnsi="Arial"/>
          <w:sz w:val="12"/>
          <w:szCs w:val="12"/>
          <w:color w:val="auto"/>
        </w:rPr>
        <w:t>Steven A. Kandarian</w:t>
      </w:r>
    </w:p>
    <w:p>
      <w:pPr>
        <w:ind w:left="5660"/>
        <w:spacing w:after="0"/>
        <w:rPr>
          <w:sz w:val="20"/>
          <w:szCs w:val="20"/>
          <w:color w:val="auto"/>
        </w:rPr>
      </w:pPr>
      <w:r>
        <w:rPr>
          <w:rFonts w:ascii="Arial" w:cs="Arial" w:eastAsia="Arial" w:hAnsi="Arial"/>
          <w:sz w:val="12"/>
          <w:szCs w:val="12"/>
          <w:color w:val="auto"/>
        </w:rPr>
        <w:t>Douglas W. Stotlar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0" w:name="page101"/>
    <w:bookmarkEnd w:id="100"/>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176770" cy="114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Independent Registered Public Accounting Firm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fees for professional audit services provided by Ernst &amp; Young LLP for the audit of the Company's annual consolidated financial statements for the fiscal years ended</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September 30, 2020, and September 30, 2019, as well as fees billed for all other services provided by Ernst &amp; Young LLP during those same periods:</w:t>
      </w:r>
    </w:p>
    <w:p>
      <w:pPr>
        <w:spacing w:after="0" w:line="129" w:lineRule="exact"/>
        <w:rPr>
          <w:sz w:val="20"/>
          <w:szCs w:val="20"/>
          <w:color w:val="auto"/>
        </w:rPr>
      </w:pPr>
    </w:p>
    <w:tbl>
      <w:tblPr>
        <w:tblLayout w:type="fixed"/>
        <w:tblInd w:w="2260" w:type="dxa"/>
        <w:tblCellMar>
          <w:top w:w="0" w:type="dxa"/>
          <w:left w:w="0" w:type="dxa"/>
          <w:bottom w:w="0" w:type="dxa"/>
          <w:right w:w="0" w:type="dxa"/>
        </w:tblCellMar>
      </w:tblPr>
      <w:tr>
        <w:trPr>
          <w:trHeight w:val="151"/>
        </w:trPr>
        <w:tc>
          <w:tcPr>
            <w:tcW w:w="5220" w:type="dxa"/>
            <w:vAlign w:val="bottom"/>
            <w:tcBorders>
              <w:bottom w:val="single" w:sz="8" w:color="00B2E5"/>
            </w:tcBorders>
          </w:tcPr>
          <w:p>
            <w:pPr>
              <w:spacing w:after="0"/>
              <w:rPr>
                <w:sz w:val="20"/>
                <w:szCs w:val="20"/>
                <w:color w:val="auto"/>
              </w:rPr>
            </w:pPr>
            <w:r>
              <w:rPr>
                <w:rFonts w:ascii="Arial" w:cs="Arial" w:eastAsia="Arial" w:hAnsi="Arial"/>
                <w:sz w:val="12"/>
                <w:szCs w:val="12"/>
                <w:b w:val="1"/>
                <w:bCs w:val="1"/>
                <w:color w:val="auto"/>
              </w:rPr>
              <w:t>(in millions)</w:t>
            </w:r>
          </w:p>
        </w:tc>
        <w:tc>
          <w:tcPr>
            <w:tcW w:w="240" w:type="dxa"/>
            <w:vAlign w:val="bottom"/>
            <w:tcBorders>
              <w:bottom w:val="single" w:sz="8" w:color="00B2E5"/>
            </w:tcBorders>
          </w:tcPr>
          <w:p>
            <w:pPr>
              <w:spacing w:after="0"/>
              <w:rPr>
                <w:sz w:val="13"/>
                <w:szCs w:val="13"/>
                <w:color w:val="auto"/>
              </w:rPr>
            </w:pPr>
          </w:p>
        </w:tc>
        <w:tc>
          <w:tcPr>
            <w:tcW w:w="440" w:type="dxa"/>
            <w:vAlign w:val="bottom"/>
            <w:tcBorders>
              <w:bottom w:val="single" w:sz="8" w:color="00B2E5"/>
            </w:tcBorders>
          </w:tcPr>
          <w:p>
            <w:pPr>
              <w:jc w:val="right"/>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00B2E5"/>
            </w:tcBorders>
          </w:tcPr>
          <w:p>
            <w:pPr>
              <w:spacing w:after="0"/>
              <w:rPr>
                <w:sz w:val="13"/>
                <w:szCs w:val="13"/>
                <w:color w:val="auto"/>
              </w:rPr>
            </w:pPr>
          </w:p>
        </w:tc>
        <w:tc>
          <w:tcPr>
            <w:tcW w:w="220" w:type="dxa"/>
            <w:vAlign w:val="bottom"/>
            <w:tcBorders>
              <w:bottom w:val="single" w:sz="8" w:color="00B2E5"/>
            </w:tcBorders>
          </w:tcPr>
          <w:p>
            <w:pPr>
              <w:spacing w:after="0"/>
              <w:rPr>
                <w:sz w:val="13"/>
                <w:szCs w:val="13"/>
                <w:color w:val="auto"/>
              </w:rPr>
            </w:pPr>
          </w:p>
        </w:tc>
        <w:tc>
          <w:tcPr>
            <w:tcW w:w="440" w:type="dxa"/>
            <w:vAlign w:val="bottom"/>
            <w:tcBorders>
              <w:bottom w:val="single" w:sz="8" w:color="00B2E5"/>
            </w:tcBorders>
          </w:tcPr>
          <w:p>
            <w:pPr>
              <w:jc w:val="right"/>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3"/>
                <w:szCs w:val="13"/>
                <w:color w:val="auto"/>
              </w:rPr>
            </w:pPr>
          </w:p>
        </w:tc>
      </w:tr>
      <w:tr>
        <w:trPr>
          <w:trHeight w:val="123"/>
        </w:trPr>
        <w:tc>
          <w:tcPr>
            <w:tcW w:w="5220" w:type="dxa"/>
            <w:vAlign w:val="bottom"/>
          </w:tcPr>
          <w:p>
            <w:pPr>
              <w:spacing w:after="0" w:line="124" w:lineRule="exact"/>
              <w:rPr>
                <w:sz w:val="20"/>
                <w:szCs w:val="20"/>
                <w:color w:val="auto"/>
              </w:rPr>
            </w:pPr>
            <w:r>
              <w:rPr>
                <w:rFonts w:ascii="Arial" w:cs="Arial" w:eastAsia="Arial" w:hAnsi="Arial"/>
                <w:sz w:val="12"/>
                <w:szCs w:val="12"/>
                <w:color w:val="auto"/>
              </w:rPr>
              <w:t>Audit Fees</w:t>
            </w:r>
          </w:p>
        </w:tc>
        <w:tc>
          <w:tcPr>
            <w:tcW w:w="240" w:type="dxa"/>
            <w:vAlign w:val="bottom"/>
          </w:tcPr>
          <w:p>
            <w:pPr>
              <w:jc w:val="right"/>
              <w:ind w:right="101"/>
              <w:spacing w:after="0" w:line="124" w:lineRule="exact"/>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line="124" w:lineRule="exact"/>
              <w:rPr>
                <w:sz w:val="20"/>
                <w:szCs w:val="20"/>
                <w:color w:val="auto"/>
              </w:rPr>
            </w:pPr>
            <w:r>
              <w:rPr>
                <w:rFonts w:ascii="Arial" w:cs="Arial" w:eastAsia="Arial" w:hAnsi="Arial"/>
                <w:sz w:val="12"/>
                <w:szCs w:val="12"/>
                <w:color w:val="auto"/>
              </w:rPr>
              <w:t>9.9</w:t>
            </w:r>
          </w:p>
        </w:tc>
        <w:tc>
          <w:tcPr>
            <w:tcW w:w="320" w:type="dxa"/>
            <w:vAlign w:val="bottom"/>
            <w:gridSpan w:val="2"/>
          </w:tcPr>
          <w:p>
            <w:pPr>
              <w:jc w:val="right"/>
              <w:ind w:right="113"/>
              <w:spacing w:after="0" w:line="124" w:lineRule="exact"/>
              <w:rPr>
                <w:sz w:val="20"/>
                <w:szCs w:val="20"/>
                <w:color w:val="auto"/>
              </w:rPr>
            </w:pPr>
            <w:r>
              <w:rPr>
                <w:rFonts w:ascii="Arial" w:cs="Arial" w:eastAsia="Arial" w:hAnsi="Arial"/>
                <w:sz w:val="12"/>
                <w:szCs w:val="12"/>
                <w:color w:val="auto"/>
              </w:rPr>
              <w:t>$</w:t>
            </w:r>
          </w:p>
        </w:tc>
        <w:tc>
          <w:tcPr>
            <w:tcW w:w="440" w:type="dxa"/>
            <w:vAlign w:val="bottom"/>
          </w:tcPr>
          <w:p>
            <w:pPr>
              <w:jc w:val="right"/>
              <w:spacing w:after="0" w:line="124" w:lineRule="exact"/>
              <w:rPr>
                <w:sz w:val="20"/>
                <w:szCs w:val="20"/>
                <w:color w:val="auto"/>
              </w:rPr>
            </w:pPr>
            <w:r>
              <w:rPr>
                <w:rFonts w:ascii="Arial" w:cs="Arial" w:eastAsia="Arial" w:hAnsi="Arial"/>
                <w:sz w:val="12"/>
                <w:szCs w:val="12"/>
                <w:color w:val="auto"/>
              </w:rPr>
              <w:t>8.4</w:t>
            </w:r>
          </w:p>
        </w:tc>
        <w:tc>
          <w:tcPr>
            <w:tcW w:w="20" w:type="dxa"/>
            <w:vAlign w:val="bottom"/>
          </w:tcPr>
          <w:p>
            <w:pPr>
              <w:spacing w:after="0"/>
              <w:rPr>
                <w:sz w:val="10"/>
                <w:szCs w:val="10"/>
                <w:color w:val="auto"/>
              </w:rPr>
            </w:pPr>
          </w:p>
        </w:tc>
      </w:tr>
      <w:tr>
        <w:trPr>
          <w:trHeight w:val="137"/>
        </w:trPr>
        <w:tc>
          <w:tcPr>
            <w:tcW w:w="5220" w:type="dxa"/>
            <w:vAlign w:val="bottom"/>
          </w:tcPr>
          <w:p>
            <w:pPr>
              <w:spacing w:after="0" w:line="137" w:lineRule="exact"/>
              <w:rPr>
                <w:sz w:val="20"/>
                <w:szCs w:val="20"/>
                <w:color w:val="auto"/>
              </w:rPr>
            </w:pPr>
            <w:r>
              <w:rPr>
                <w:rFonts w:ascii="Arial" w:cs="Arial" w:eastAsia="Arial" w:hAnsi="Arial"/>
                <w:sz w:val="12"/>
                <w:szCs w:val="12"/>
                <w:color w:val="auto"/>
              </w:rPr>
              <w:t>Audit Related Fees</w:t>
            </w:r>
          </w:p>
        </w:tc>
        <w:tc>
          <w:tcPr>
            <w:tcW w:w="240" w:type="dxa"/>
            <w:vAlign w:val="bottom"/>
          </w:tcPr>
          <w:p>
            <w:pPr>
              <w:spacing w:after="0"/>
              <w:rPr>
                <w:sz w:val="11"/>
                <w:szCs w:val="11"/>
                <w:color w:val="auto"/>
              </w:rPr>
            </w:pPr>
          </w:p>
        </w:tc>
        <w:tc>
          <w:tcPr>
            <w:tcW w:w="440" w:type="dxa"/>
            <w:vAlign w:val="bottom"/>
          </w:tcPr>
          <w:p>
            <w:pPr>
              <w:jc w:val="right"/>
              <w:spacing w:after="0" w:line="137" w:lineRule="exact"/>
              <w:rPr>
                <w:sz w:val="20"/>
                <w:szCs w:val="20"/>
                <w:color w:val="auto"/>
              </w:rPr>
            </w:pPr>
            <w:r>
              <w:rPr>
                <w:rFonts w:ascii="Arial" w:cs="Arial" w:eastAsia="Arial" w:hAnsi="Arial"/>
                <w:sz w:val="12"/>
                <w:szCs w:val="12"/>
                <w:color w:val="auto"/>
              </w:rPr>
              <w:t>2.0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0.7</w:t>
            </w:r>
          </w:p>
        </w:tc>
      </w:tr>
      <w:tr>
        <w:trPr>
          <w:trHeight w:val="149"/>
        </w:trPr>
        <w:tc>
          <w:tcPr>
            <w:tcW w:w="5220" w:type="dxa"/>
            <w:vAlign w:val="bottom"/>
          </w:tcPr>
          <w:p>
            <w:pPr>
              <w:spacing w:after="0"/>
              <w:rPr>
                <w:sz w:val="20"/>
                <w:szCs w:val="20"/>
                <w:color w:val="auto"/>
              </w:rPr>
            </w:pPr>
            <w:r>
              <w:rPr>
                <w:rFonts w:ascii="Arial" w:cs="Arial" w:eastAsia="Arial" w:hAnsi="Arial"/>
                <w:sz w:val="12"/>
                <w:szCs w:val="12"/>
                <w:color w:val="auto"/>
              </w:rPr>
              <w:t>Tax Fees</w:t>
            </w:r>
          </w:p>
        </w:tc>
        <w:tc>
          <w:tcPr>
            <w:tcW w:w="2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3.2</w:t>
            </w:r>
          </w:p>
        </w:tc>
      </w:tr>
      <w:tr>
        <w:trPr>
          <w:trHeight w:val="133"/>
        </w:trPr>
        <w:tc>
          <w:tcPr>
            <w:tcW w:w="5220" w:type="dxa"/>
            <w:vAlign w:val="bottom"/>
          </w:tcPr>
          <w:p>
            <w:pPr>
              <w:spacing w:after="0" w:line="126" w:lineRule="exact"/>
              <w:rPr>
                <w:sz w:val="20"/>
                <w:szCs w:val="20"/>
                <w:color w:val="auto"/>
              </w:rPr>
            </w:pPr>
            <w:r>
              <w:rPr>
                <w:rFonts w:ascii="Arial" w:cs="Arial" w:eastAsia="Arial" w:hAnsi="Arial"/>
                <w:sz w:val="12"/>
                <w:szCs w:val="12"/>
                <w:b w:val="1"/>
                <w:bCs w:val="1"/>
                <w:color w:val="auto"/>
              </w:rPr>
              <w:t>Total</w:t>
            </w:r>
          </w:p>
        </w:tc>
        <w:tc>
          <w:tcPr>
            <w:tcW w:w="240" w:type="dxa"/>
            <w:vAlign w:val="bottom"/>
            <w:tcBorders>
              <w:top w:val="single" w:sz="8" w:color="auto"/>
              <w:bottom w:val="single" w:sz="8" w:color="auto"/>
            </w:tcBorders>
          </w:tcPr>
          <w:p>
            <w:pPr>
              <w:jc w:val="right"/>
              <w:ind w:right="101"/>
              <w:spacing w:after="0" w:line="126" w:lineRule="exact"/>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14.8</w:t>
            </w:r>
          </w:p>
        </w:tc>
        <w:tc>
          <w:tcPr>
            <w:tcW w:w="10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12.3</w:t>
            </w:r>
          </w:p>
        </w:tc>
        <w:tc>
          <w:tcPr>
            <w:tcW w:w="20" w:type="dxa"/>
            <w:vAlign w:val="bottom"/>
          </w:tcPr>
          <w:p>
            <w:pPr>
              <w:spacing w:after="0"/>
              <w:rPr>
                <w:sz w:val="11"/>
                <w:szCs w:val="11"/>
                <w:color w:val="auto"/>
              </w:rPr>
            </w:pPr>
          </w:p>
        </w:tc>
      </w:tr>
    </w:tbl>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00B2E5"/>
        </w:rPr>
        <w:t xml:space="preserve">Audit Fees. </w:t>
      </w:r>
      <w:r>
        <w:rPr>
          <w:rFonts w:ascii="Arial" w:cs="Arial" w:eastAsia="Arial" w:hAnsi="Arial"/>
          <w:sz w:val="12"/>
          <w:szCs w:val="12"/>
          <w:color w:val="000000"/>
        </w:rPr>
        <w:t>The fees identified under this caption were for professional services rendered by Ernst &amp; Young LLP for fiscal years 2020 and 2019 in connection with the audit of our annual financial statements and</w:t>
      </w:r>
      <w:r>
        <w:rPr>
          <w:rFonts w:ascii="Arial" w:cs="Arial" w:eastAsia="Arial" w:hAnsi="Arial"/>
          <w:sz w:val="12"/>
          <w:szCs w:val="12"/>
          <w:b w:val="1"/>
          <w:bCs w:val="1"/>
          <w:i w:val="1"/>
          <w:iCs w:val="1"/>
          <w:color w:val="00B2E5"/>
        </w:rPr>
        <w:t xml:space="preserve"> </w:t>
      </w:r>
      <w:r>
        <w:rPr>
          <w:rFonts w:ascii="Arial" w:cs="Arial" w:eastAsia="Arial" w:hAnsi="Arial"/>
          <w:sz w:val="12"/>
          <w:szCs w:val="12"/>
          <w:color w:val="000000"/>
        </w:rPr>
        <w:t>review of the financial statements included in our quarterly reports on Form 10-Q. The amounts also include fees for services that are normally provided by the independent public registered accounting firm in connection with statutory and regulatory filings and engagements for the years identified.</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00B2E5"/>
        </w:rPr>
        <w:t xml:space="preserve">Audit-Related Fees. </w:t>
      </w:r>
      <w:r>
        <w:rPr>
          <w:rFonts w:ascii="Arial" w:cs="Arial" w:eastAsia="Arial" w:hAnsi="Arial"/>
          <w:sz w:val="12"/>
          <w:szCs w:val="12"/>
          <w:color w:val="000000"/>
        </w:rPr>
        <w:t>The fees identified under this caption were for assurance and related services that were related to the performance of the audit or review of our financial statements and were not reported</w:t>
      </w:r>
      <w:r>
        <w:rPr>
          <w:rFonts w:ascii="Arial" w:cs="Arial" w:eastAsia="Arial" w:hAnsi="Arial"/>
          <w:sz w:val="12"/>
          <w:szCs w:val="12"/>
          <w:b w:val="1"/>
          <w:bCs w:val="1"/>
          <w:i w:val="1"/>
          <w:iCs w:val="1"/>
          <w:color w:val="00B2E5"/>
        </w:rPr>
        <w:t xml:space="preserve"> </w:t>
      </w:r>
      <w:r>
        <w:rPr>
          <w:rFonts w:ascii="Arial" w:cs="Arial" w:eastAsia="Arial" w:hAnsi="Arial"/>
          <w:sz w:val="12"/>
          <w:szCs w:val="12"/>
          <w:color w:val="000000"/>
        </w:rPr>
        <w:t>under the caption "Audit Fees." This category may include fees related to the performance of audits and attestation services not required by statute or regulations, due-diligence activities related to acquisitions, contractor's license compliance procedures and accounting consultations about the application of generally accepted accounting principles to proposed transactions.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00B2E5"/>
        </w:rPr>
        <w:t xml:space="preserve">Tax Fees. </w:t>
      </w:r>
      <w:r>
        <w:rPr>
          <w:rFonts w:ascii="Arial" w:cs="Arial" w:eastAsia="Arial" w:hAnsi="Arial"/>
          <w:sz w:val="12"/>
          <w:szCs w:val="12"/>
          <w:color w:val="000000"/>
        </w:rPr>
        <w:t>The fees identified under this caption were for tax compliance of $1.3 million, tax planning, tax advice and corporate tax services. Corporate tax services may encompass a variety of permissible services,</w:t>
      </w:r>
      <w:r>
        <w:rPr>
          <w:rFonts w:ascii="Arial" w:cs="Arial" w:eastAsia="Arial" w:hAnsi="Arial"/>
          <w:sz w:val="12"/>
          <w:szCs w:val="12"/>
          <w:b w:val="1"/>
          <w:bCs w:val="1"/>
          <w:i w:val="1"/>
          <w:iCs w:val="1"/>
          <w:color w:val="00B2E5"/>
        </w:rPr>
        <w:t xml:space="preserve"> </w:t>
      </w:r>
      <w:r>
        <w:rPr>
          <w:rFonts w:ascii="Arial" w:cs="Arial" w:eastAsia="Arial" w:hAnsi="Arial"/>
          <w:sz w:val="12"/>
          <w:szCs w:val="12"/>
          <w:color w:val="000000"/>
        </w:rPr>
        <w:t>including technical tax advice related to U.S. and international tax matters, assistance with foreign income and withholding tax matters, assistance with sales tax, value-added tax and equivalent tax-related matters in local jurisdictions, preparation of reports to comply with local tax authority transfer pricing documentation requirements and assistance with tax audits.</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12"/>
          <w:szCs w:val="12"/>
          <w:b w:val="1"/>
          <w:bCs w:val="1"/>
          <w:i w:val="1"/>
          <w:iCs w:val="1"/>
          <w:color w:val="00B2E5"/>
        </w:rPr>
        <w:t xml:space="preserve">Approval Policy. </w:t>
      </w:r>
      <w:r>
        <w:rPr>
          <w:rFonts w:ascii="Arial" w:cs="Arial" w:eastAsia="Arial" w:hAnsi="Arial"/>
          <w:sz w:val="12"/>
          <w:szCs w:val="12"/>
          <w:color w:val="000000"/>
        </w:rPr>
        <w:t>Except for requests for preapproval made between Audit Committee meetings, the Company's Audit Committee approves in advance all services provided by our independent registered public</w:t>
      </w:r>
      <w:r>
        <w:rPr>
          <w:rFonts w:ascii="Arial" w:cs="Arial" w:eastAsia="Arial" w:hAnsi="Arial"/>
          <w:sz w:val="12"/>
          <w:szCs w:val="12"/>
          <w:b w:val="1"/>
          <w:bCs w:val="1"/>
          <w:i w:val="1"/>
          <w:iCs w:val="1"/>
          <w:color w:val="00B2E5"/>
        </w:rPr>
        <w:t xml:space="preserve"> </w:t>
      </w:r>
      <w:r>
        <w:rPr>
          <w:rFonts w:ascii="Arial" w:cs="Arial" w:eastAsia="Arial" w:hAnsi="Arial"/>
          <w:sz w:val="12"/>
          <w:szCs w:val="12"/>
          <w:color w:val="000000"/>
        </w:rPr>
        <w:t>accounting firm. The Chair of our Audit Committee approves in advance all services requested between Audit Committee meetings. All such interim approvals are reported to and approved by the full Audit Committee at the next meeting. All engagements of our independent registered public accounting firm in fiscal years 2020 and 2019 were pre-approved by the Audit Committee or Chair of the Audit Committee in accordance with this policy.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1" w:name="page102"/>
    <w:bookmarkEnd w:id="101"/>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ind w:right="20"/>
        <w:spacing w:after="0" w:line="299" w:lineRule="auto"/>
        <w:rPr>
          <w:sz w:val="20"/>
          <w:szCs w:val="20"/>
          <w:color w:val="auto"/>
        </w:rPr>
      </w:pPr>
      <w:r>
        <w:rPr>
          <w:rFonts w:ascii="Arial" w:cs="Arial" w:eastAsia="Arial" w:hAnsi="Arial"/>
          <w:sz w:val="29"/>
          <w:szCs w:val="29"/>
          <w:b w:val="1"/>
          <w:bCs w:val="1"/>
          <w:color w:val="00B2E5"/>
        </w:rPr>
        <w:t>SECURITY OWNERSHIP OF CERTAIN BENEFICIAL OWNERS AND MANAGEMENT</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information regarding the beneficial ownership of our common stock as of January 11, 2021, by:</w:t>
      </w:r>
    </w:p>
    <w:p>
      <w:pPr>
        <w:spacing w:after="0" w:line="145" w:lineRule="exact"/>
        <w:rPr>
          <w:sz w:val="20"/>
          <w:szCs w:val="20"/>
          <w:color w:val="auto"/>
        </w:rPr>
      </w:pPr>
    </w:p>
    <w:p>
      <w:pPr>
        <w:ind w:left="720" w:hanging="362"/>
        <w:spacing w:after="0"/>
        <w:tabs>
          <w:tab w:leader="none" w:pos="7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Each person or group of affiliated persons who we know beneficially owns more than 5% of our common stock;</w:t>
      </w:r>
    </w:p>
    <w:p>
      <w:pPr>
        <w:spacing w:after="0" w:line="144" w:lineRule="exact"/>
        <w:rPr>
          <w:rFonts w:ascii="Arial" w:cs="Arial" w:eastAsia="Arial" w:hAnsi="Arial"/>
          <w:sz w:val="12"/>
          <w:szCs w:val="12"/>
          <w:color w:val="auto"/>
        </w:rPr>
      </w:pPr>
    </w:p>
    <w:p>
      <w:pPr>
        <w:ind w:left="720" w:hanging="362"/>
        <w:spacing w:after="0"/>
        <w:tabs>
          <w:tab w:leader="none" w:pos="7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Each of our directors and nominees;</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Each of our NEOs; and</w:t>
      </w:r>
    </w:p>
    <w:p>
      <w:pPr>
        <w:spacing w:after="0" w:line="135" w:lineRule="exact"/>
        <w:rPr>
          <w:rFonts w:ascii="Arial" w:cs="Arial" w:eastAsia="Arial" w:hAnsi="Arial"/>
          <w:sz w:val="12"/>
          <w:szCs w:val="12"/>
          <w:color w:val="auto"/>
        </w:rPr>
      </w:pPr>
    </w:p>
    <w:p>
      <w:pPr>
        <w:ind w:left="720" w:hanging="362"/>
        <w:spacing w:after="0"/>
        <w:tabs>
          <w:tab w:leader="none" w:pos="7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All of our directors and executive officers as a group.</w:t>
      </w:r>
    </w:p>
    <w:p>
      <w:pPr>
        <w:spacing w:after="0" w:line="145"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Except as indicated in the footnotes to this table, the persons named in the table have sole voting and investment power with respect to all shares of common stock shown as beneficially owned by them, subject to community property laws. The table includes the number of shares underlying options and warrants that are exercisable within, and the number of shares of restricted stock units that settle within 60 days from January 11,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560" w:type="dxa"/>
            <w:vAlign w:val="bottom"/>
          </w:tcPr>
          <w:p>
            <w:pPr>
              <w:jc w:val="right"/>
              <w:ind w:right="341"/>
              <w:spacing w:after="0"/>
              <w:rPr>
                <w:sz w:val="20"/>
                <w:szCs w:val="20"/>
                <w:color w:val="auto"/>
              </w:rPr>
            </w:pPr>
            <w:r>
              <w:rPr>
                <w:rFonts w:ascii="Arial" w:cs="Arial" w:eastAsia="Arial" w:hAnsi="Arial"/>
                <w:sz w:val="12"/>
                <w:szCs w:val="12"/>
                <w:b w:val="1"/>
                <w:bCs w:val="1"/>
                <w:color w:val="auto"/>
              </w:rPr>
              <w:t>Amount and Nature of</w:t>
            </w:r>
          </w:p>
        </w:tc>
        <w:tc>
          <w:tcPr>
            <w:tcW w:w="17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1"/>
        </w:trPr>
        <w:tc>
          <w:tcPr>
            <w:tcW w:w="1120" w:type="dxa"/>
            <w:vAlign w:val="bottom"/>
          </w:tcPr>
          <w:p>
            <w:pPr>
              <w:spacing w:after="0"/>
              <w:rPr>
                <w:sz w:val="13"/>
                <w:szCs w:val="13"/>
                <w:color w:val="auto"/>
              </w:rPr>
            </w:pPr>
          </w:p>
        </w:tc>
        <w:tc>
          <w:tcPr>
            <w:tcW w:w="3780" w:type="dxa"/>
            <w:vAlign w:val="bottom"/>
            <w:gridSpan w:val="3"/>
          </w:tcPr>
          <w:p>
            <w:pPr>
              <w:spacing w:after="0"/>
              <w:rPr>
                <w:sz w:val="20"/>
                <w:szCs w:val="20"/>
                <w:color w:val="auto"/>
              </w:rPr>
            </w:pPr>
            <w:r>
              <w:rPr>
                <w:rFonts w:ascii="Arial" w:cs="Arial" w:eastAsia="Arial" w:hAnsi="Arial"/>
                <w:sz w:val="12"/>
                <w:szCs w:val="12"/>
                <w:b w:val="1"/>
                <w:bCs w:val="1"/>
                <w:color w:val="auto"/>
              </w:rPr>
              <w:t>Name and Address of Beneficial Owner(1)</w:t>
            </w:r>
          </w:p>
        </w:tc>
        <w:tc>
          <w:tcPr>
            <w:tcW w:w="3560" w:type="dxa"/>
            <w:vAlign w:val="bottom"/>
          </w:tcPr>
          <w:p>
            <w:pPr>
              <w:jc w:val="right"/>
              <w:ind w:right="341"/>
              <w:spacing w:after="0"/>
              <w:rPr>
                <w:sz w:val="20"/>
                <w:szCs w:val="20"/>
                <w:color w:val="auto"/>
              </w:rPr>
            </w:pPr>
            <w:r>
              <w:rPr>
                <w:rFonts w:ascii="Arial" w:cs="Arial" w:eastAsia="Arial" w:hAnsi="Arial"/>
                <w:sz w:val="12"/>
                <w:szCs w:val="12"/>
                <w:b w:val="1"/>
                <w:bCs w:val="1"/>
                <w:color w:val="auto"/>
              </w:rPr>
              <w:t>Beneficial Ownership(2)</w:t>
            </w:r>
          </w:p>
        </w:tc>
        <w:tc>
          <w:tcPr>
            <w:tcW w:w="2840" w:type="dxa"/>
            <w:vAlign w:val="bottom"/>
            <w:gridSpan w:val="2"/>
          </w:tcPr>
          <w:p>
            <w:pPr>
              <w:jc w:val="right"/>
              <w:ind w:right="1160"/>
              <w:spacing w:after="0"/>
              <w:rPr>
                <w:sz w:val="20"/>
                <w:szCs w:val="20"/>
                <w:color w:val="auto"/>
              </w:rPr>
            </w:pPr>
            <w:r>
              <w:rPr>
                <w:rFonts w:ascii="Arial" w:cs="Arial" w:eastAsia="Arial" w:hAnsi="Arial"/>
                <w:sz w:val="12"/>
                <w:szCs w:val="12"/>
                <w:b w:val="1"/>
                <w:bCs w:val="1"/>
                <w:color w:val="auto"/>
              </w:rPr>
              <w:t>Percent(%) of Class(2)</w:t>
            </w:r>
          </w:p>
        </w:tc>
      </w:tr>
      <w:tr>
        <w:trPr>
          <w:trHeight w:val="123"/>
        </w:trPr>
        <w:tc>
          <w:tcPr>
            <w:tcW w:w="1120" w:type="dxa"/>
            <w:vAlign w:val="bottom"/>
          </w:tcPr>
          <w:p>
            <w:pPr>
              <w:spacing w:after="0"/>
              <w:rPr>
                <w:sz w:val="10"/>
                <w:szCs w:val="10"/>
                <w:color w:val="auto"/>
              </w:rPr>
            </w:pPr>
          </w:p>
        </w:tc>
        <w:tc>
          <w:tcPr>
            <w:tcW w:w="3780" w:type="dxa"/>
            <w:vAlign w:val="bottom"/>
            <w:tcBorders>
              <w:top w:val="single" w:sz="8" w:color="00B2E5"/>
            </w:tcBorders>
            <w:gridSpan w:val="3"/>
          </w:tcPr>
          <w:p>
            <w:pPr>
              <w:spacing w:after="0" w:line="124" w:lineRule="exact"/>
              <w:rPr>
                <w:sz w:val="20"/>
                <w:szCs w:val="20"/>
                <w:color w:val="auto"/>
              </w:rPr>
            </w:pPr>
            <w:r>
              <w:rPr>
                <w:rFonts w:ascii="Arial" w:cs="Arial" w:eastAsia="Arial" w:hAnsi="Arial"/>
                <w:sz w:val="12"/>
                <w:szCs w:val="12"/>
                <w:color w:val="auto"/>
              </w:rPr>
              <w:t>PRIMECAP Management Company(3)</w:t>
            </w:r>
          </w:p>
        </w:tc>
        <w:tc>
          <w:tcPr>
            <w:tcW w:w="3560" w:type="dxa"/>
            <w:vAlign w:val="bottom"/>
            <w:tcBorders>
              <w:top w:val="single" w:sz="8" w:color="00B2E5"/>
            </w:tcBorders>
          </w:tcPr>
          <w:p>
            <w:pPr>
              <w:jc w:val="right"/>
              <w:ind w:right="341"/>
              <w:spacing w:after="0" w:line="124" w:lineRule="exact"/>
              <w:rPr>
                <w:sz w:val="20"/>
                <w:szCs w:val="20"/>
                <w:color w:val="auto"/>
              </w:rPr>
            </w:pPr>
            <w:r>
              <w:rPr>
                <w:rFonts w:ascii="Arial" w:cs="Arial" w:eastAsia="Arial" w:hAnsi="Arial"/>
                <w:sz w:val="12"/>
                <w:szCs w:val="12"/>
                <w:color w:val="auto"/>
              </w:rPr>
              <w:t>22,135,684</w:t>
            </w:r>
          </w:p>
        </w:tc>
        <w:tc>
          <w:tcPr>
            <w:tcW w:w="1700" w:type="dxa"/>
            <w:vAlign w:val="bottom"/>
            <w:tcBorders>
              <w:top w:val="single" w:sz="8" w:color="00B2E5"/>
            </w:tcBorders>
          </w:tcPr>
          <w:p>
            <w:pPr>
              <w:jc w:val="right"/>
              <w:spacing w:after="0" w:line="124" w:lineRule="exact"/>
              <w:rPr>
                <w:sz w:val="20"/>
                <w:szCs w:val="20"/>
                <w:color w:val="auto"/>
              </w:rPr>
            </w:pPr>
            <w:r>
              <w:rPr>
                <w:rFonts w:ascii="Arial" w:cs="Arial" w:eastAsia="Arial" w:hAnsi="Arial"/>
                <w:sz w:val="12"/>
                <w:szCs w:val="12"/>
                <w:color w:val="auto"/>
              </w:rPr>
              <w:t>14.98%</w:t>
            </w:r>
          </w:p>
        </w:tc>
        <w:tc>
          <w:tcPr>
            <w:tcW w:w="1140" w:type="dxa"/>
            <w:vAlign w:val="bottom"/>
          </w:tcPr>
          <w:p>
            <w:pPr>
              <w:spacing w:after="0"/>
              <w:rPr>
                <w:sz w:val="10"/>
                <w:szCs w:val="10"/>
                <w:color w:val="auto"/>
              </w:rPr>
            </w:pPr>
          </w:p>
        </w:tc>
      </w:tr>
      <w:tr>
        <w:trPr>
          <w:trHeight w:val="137"/>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0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171 E. Colorado Blvd., 11th Floor</w:t>
            </w:r>
          </w:p>
        </w:tc>
        <w:tc>
          <w:tcPr>
            <w:tcW w:w="35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7"/>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0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Pasadena, CA 91105</w:t>
            </w:r>
          </w:p>
        </w:tc>
        <w:tc>
          <w:tcPr>
            <w:tcW w:w="35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FMR LLC(4)</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18,587,199</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12.58%</w:t>
            </w:r>
          </w:p>
        </w:tc>
      </w:tr>
      <w:tr>
        <w:trPr>
          <w:trHeight w:val="137"/>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0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245 Summer Street</w:t>
            </w:r>
          </w:p>
        </w:tc>
        <w:tc>
          <w:tcPr>
            <w:tcW w:w="35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7"/>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0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Boston, MA 02210</w:t>
            </w:r>
          </w:p>
        </w:tc>
        <w:tc>
          <w:tcPr>
            <w:tcW w:w="35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8"/>
        </w:trPr>
        <w:tc>
          <w:tcPr>
            <w:tcW w:w="1120" w:type="dxa"/>
            <w:vAlign w:val="bottom"/>
          </w:tcPr>
          <w:p>
            <w:pPr>
              <w:spacing w:after="0"/>
              <w:rPr>
                <w:sz w:val="12"/>
                <w:szCs w:val="12"/>
                <w:color w:val="auto"/>
              </w:rPr>
            </w:pPr>
          </w:p>
        </w:tc>
        <w:tc>
          <w:tcPr>
            <w:tcW w:w="3780" w:type="dxa"/>
            <w:vAlign w:val="bottom"/>
            <w:gridSpan w:val="3"/>
          </w:tcPr>
          <w:p>
            <w:pPr>
              <w:spacing w:after="0"/>
              <w:rPr>
                <w:sz w:val="20"/>
                <w:szCs w:val="20"/>
                <w:color w:val="auto"/>
              </w:rPr>
            </w:pPr>
            <w:r>
              <w:rPr>
                <w:rFonts w:ascii="Arial" w:cs="Arial" w:eastAsia="Arial" w:hAnsi="Arial"/>
                <w:sz w:val="12"/>
                <w:szCs w:val="12"/>
                <w:color w:val="auto"/>
              </w:rPr>
              <w:t>Blackrock, Inc.(5)</w:t>
            </w:r>
          </w:p>
        </w:tc>
        <w:tc>
          <w:tcPr>
            <w:tcW w:w="3560" w:type="dxa"/>
            <w:vAlign w:val="bottom"/>
          </w:tcPr>
          <w:p>
            <w:pPr>
              <w:jc w:val="right"/>
              <w:ind w:right="341"/>
              <w:spacing w:after="0"/>
              <w:rPr>
                <w:sz w:val="20"/>
                <w:szCs w:val="20"/>
                <w:color w:val="auto"/>
              </w:rPr>
            </w:pPr>
            <w:r>
              <w:rPr>
                <w:rFonts w:ascii="Arial" w:cs="Arial" w:eastAsia="Arial" w:hAnsi="Arial"/>
                <w:sz w:val="12"/>
                <w:szCs w:val="12"/>
                <w:color w:val="auto"/>
              </w:rPr>
              <w:t>13,901,989</w:t>
            </w:r>
          </w:p>
        </w:tc>
        <w:tc>
          <w:tcPr>
            <w:tcW w:w="1700" w:type="dxa"/>
            <w:vAlign w:val="bottom"/>
          </w:tcPr>
          <w:p>
            <w:pPr>
              <w:jc w:val="right"/>
              <w:spacing w:after="0"/>
              <w:rPr>
                <w:sz w:val="20"/>
                <w:szCs w:val="20"/>
                <w:color w:val="auto"/>
              </w:rPr>
            </w:pPr>
            <w:r>
              <w:rPr>
                <w:rFonts w:ascii="Arial" w:cs="Arial" w:eastAsia="Arial" w:hAnsi="Arial"/>
                <w:sz w:val="12"/>
                <w:szCs w:val="12"/>
                <w:color w:val="auto"/>
              </w:rPr>
              <w:t>9.41%</w:t>
            </w:r>
          </w:p>
        </w:tc>
        <w:tc>
          <w:tcPr>
            <w:tcW w:w="1140" w:type="dxa"/>
            <w:vAlign w:val="bottom"/>
          </w:tcPr>
          <w:p>
            <w:pPr>
              <w:spacing w:after="0"/>
              <w:rPr>
                <w:sz w:val="12"/>
                <w:szCs w:val="12"/>
                <w:color w:val="auto"/>
              </w:rPr>
            </w:pPr>
          </w:p>
        </w:tc>
      </w:tr>
      <w:tr>
        <w:trPr>
          <w:trHeight w:val="162"/>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gridSpan w:val="2"/>
          </w:tcPr>
          <w:p>
            <w:pPr>
              <w:ind w:left="20"/>
              <w:spacing w:after="0" w:line="163" w:lineRule="exact"/>
              <w:rPr>
                <w:sz w:val="20"/>
                <w:szCs w:val="20"/>
                <w:color w:val="auto"/>
              </w:rPr>
            </w:pPr>
            <w:r>
              <w:rPr>
                <w:rFonts w:ascii="Arial" w:cs="Arial" w:eastAsia="Arial" w:hAnsi="Arial"/>
                <w:sz w:val="11"/>
                <w:szCs w:val="11"/>
                <w:color w:val="auto"/>
              </w:rPr>
              <w:t>55 East 52</w:t>
            </w:r>
            <w:r>
              <w:rPr>
                <w:rFonts w:ascii="Arial" w:cs="Arial" w:eastAsia="Arial" w:hAnsi="Arial"/>
                <w:sz w:val="18"/>
                <w:szCs w:val="18"/>
                <w:color w:val="auto"/>
                <w:vertAlign w:val="superscript"/>
              </w:rPr>
              <w:t>nd</w:t>
            </w:r>
            <w:r>
              <w:rPr>
                <w:rFonts w:ascii="Arial" w:cs="Arial" w:eastAsia="Arial" w:hAnsi="Arial"/>
                <w:sz w:val="11"/>
                <w:szCs w:val="11"/>
                <w:color w:val="auto"/>
              </w:rPr>
              <w:t xml:space="preserve"> Street</w:t>
            </w:r>
          </w:p>
        </w:tc>
        <w:tc>
          <w:tcPr>
            <w:tcW w:w="3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37"/>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0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New York, NY 10022</w:t>
            </w:r>
          </w:p>
        </w:tc>
        <w:tc>
          <w:tcPr>
            <w:tcW w:w="35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The Vanguard Group(6)</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13,850,240</w:t>
            </w:r>
          </w:p>
        </w:tc>
        <w:tc>
          <w:tcPr>
            <w:tcW w:w="1700" w:type="dxa"/>
            <w:vAlign w:val="bottom"/>
          </w:tcPr>
          <w:p>
            <w:pPr>
              <w:jc w:val="right"/>
              <w:spacing w:after="0" w:line="137" w:lineRule="exact"/>
              <w:rPr>
                <w:sz w:val="20"/>
                <w:szCs w:val="20"/>
                <w:color w:val="auto"/>
              </w:rPr>
            </w:pPr>
            <w:r>
              <w:rPr>
                <w:rFonts w:ascii="Arial" w:cs="Arial" w:eastAsia="Arial" w:hAnsi="Arial"/>
                <w:sz w:val="12"/>
                <w:szCs w:val="12"/>
                <w:color w:val="auto"/>
              </w:rPr>
              <w:t>9.37%</w:t>
            </w:r>
          </w:p>
        </w:tc>
        <w:tc>
          <w:tcPr>
            <w:tcW w:w="1140" w:type="dxa"/>
            <w:vAlign w:val="bottom"/>
          </w:tcPr>
          <w:p>
            <w:pPr>
              <w:spacing w:after="0"/>
              <w:rPr>
                <w:sz w:val="11"/>
                <w:szCs w:val="11"/>
                <w:color w:val="auto"/>
              </w:rPr>
            </w:pPr>
          </w:p>
        </w:tc>
      </w:tr>
      <w:tr>
        <w:trPr>
          <w:trHeight w:val="137"/>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0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100 Vanguard Boulevard</w:t>
            </w:r>
          </w:p>
        </w:tc>
        <w:tc>
          <w:tcPr>
            <w:tcW w:w="35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7"/>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0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Malvern, PA 19355</w:t>
            </w:r>
          </w:p>
        </w:tc>
        <w:tc>
          <w:tcPr>
            <w:tcW w:w="35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Starboard Value LP (7)</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7,771,992</w:t>
            </w:r>
          </w:p>
        </w:tc>
        <w:tc>
          <w:tcPr>
            <w:tcW w:w="1700" w:type="dxa"/>
            <w:vAlign w:val="bottom"/>
          </w:tcPr>
          <w:p>
            <w:pPr>
              <w:jc w:val="right"/>
              <w:spacing w:after="0" w:line="137" w:lineRule="exact"/>
              <w:rPr>
                <w:sz w:val="20"/>
                <w:szCs w:val="20"/>
                <w:color w:val="auto"/>
              </w:rPr>
            </w:pPr>
            <w:r>
              <w:rPr>
                <w:rFonts w:ascii="Arial" w:cs="Arial" w:eastAsia="Arial" w:hAnsi="Arial"/>
                <w:sz w:val="12"/>
                <w:szCs w:val="12"/>
                <w:color w:val="auto"/>
              </w:rPr>
              <w:t>5.26%</w:t>
            </w:r>
          </w:p>
        </w:tc>
        <w:tc>
          <w:tcPr>
            <w:tcW w:w="1140" w:type="dxa"/>
            <w:vAlign w:val="bottom"/>
          </w:tcPr>
          <w:p>
            <w:pPr>
              <w:spacing w:after="0"/>
              <w:rPr>
                <w:sz w:val="11"/>
                <w:szCs w:val="11"/>
                <w:color w:val="auto"/>
              </w:rPr>
            </w:pPr>
          </w:p>
        </w:tc>
      </w:tr>
      <w:tr>
        <w:trPr>
          <w:trHeight w:val="137"/>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0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777 Third Avenue, 18th Floor</w:t>
            </w:r>
          </w:p>
        </w:tc>
        <w:tc>
          <w:tcPr>
            <w:tcW w:w="35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7"/>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0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New York, NY 10017</w:t>
            </w:r>
          </w:p>
        </w:tc>
        <w:tc>
          <w:tcPr>
            <w:tcW w:w="35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Bradley W. Buss(8)</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16,090</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Robert G. Card(9)</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6,272</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Diane C. Creel</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0</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Jacqueline C. Hinman(9)</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6,254</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Lydia H. Kennard(10)</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9,157</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Steven A. Kandarian(9)</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9,641</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Dr. Robert J. Routs(9)</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33,129</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Clarence T. Schmitz(9)</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37,546</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Douglas W. Stotlar(9)</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58,740</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Daniel R. Tishman(9)</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119,735</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Sander van't Noordende</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2,255</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General Janet C. Wolfenbarger, USAF Retired(9)</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26,399</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Michael S. Burke(11)</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975,420</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W. Troy Rudd(12)</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104,390</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Gaurav Kapoor</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19,028</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Lara Poloni</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18,003</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Randall A. Wotring(13)</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222,912</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37"/>
        </w:trPr>
        <w:tc>
          <w:tcPr>
            <w:tcW w:w="1120" w:type="dxa"/>
            <w:vAlign w:val="bottom"/>
          </w:tcPr>
          <w:p>
            <w:pPr>
              <w:spacing w:after="0"/>
              <w:rPr>
                <w:sz w:val="11"/>
                <w:szCs w:val="11"/>
                <w:color w:val="auto"/>
              </w:rPr>
            </w:pPr>
          </w:p>
        </w:tc>
        <w:tc>
          <w:tcPr>
            <w:tcW w:w="3780" w:type="dxa"/>
            <w:vAlign w:val="bottom"/>
            <w:gridSpan w:val="3"/>
          </w:tcPr>
          <w:p>
            <w:pPr>
              <w:spacing w:after="0" w:line="137" w:lineRule="exact"/>
              <w:rPr>
                <w:sz w:val="20"/>
                <w:szCs w:val="20"/>
                <w:color w:val="auto"/>
              </w:rPr>
            </w:pPr>
            <w:r>
              <w:rPr>
                <w:rFonts w:ascii="Arial" w:cs="Arial" w:eastAsia="Arial" w:hAnsi="Arial"/>
                <w:sz w:val="12"/>
                <w:szCs w:val="12"/>
                <w:color w:val="auto"/>
              </w:rPr>
              <w:t>Stephen J. Morriss(14)</w:t>
            </w:r>
          </w:p>
        </w:tc>
        <w:tc>
          <w:tcPr>
            <w:tcW w:w="3560" w:type="dxa"/>
            <w:vAlign w:val="bottom"/>
          </w:tcPr>
          <w:p>
            <w:pPr>
              <w:jc w:val="right"/>
              <w:ind w:right="341"/>
              <w:spacing w:after="0" w:line="137" w:lineRule="exact"/>
              <w:rPr>
                <w:sz w:val="20"/>
                <w:szCs w:val="20"/>
                <w:color w:val="auto"/>
              </w:rPr>
            </w:pPr>
            <w:r>
              <w:rPr>
                <w:rFonts w:ascii="Arial" w:cs="Arial" w:eastAsia="Arial" w:hAnsi="Arial"/>
                <w:sz w:val="12"/>
                <w:szCs w:val="12"/>
                <w:color w:val="auto"/>
              </w:rPr>
              <w:t>389</w:t>
            </w:r>
          </w:p>
        </w:tc>
        <w:tc>
          <w:tcPr>
            <w:tcW w:w="2840" w:type="dxa"/>
            <w:vAlign w:val="bottom"/>
            <w:gridSpan w:val="2"/>
          </w:tcPr>
          <w:p>
            <w:pPr>
              <w:jc w:val="right"/>
              <w:ind w:right="1140"/>
              <w:spacing w:after="0" w:line="137" w:lineRule="exact"/>
              <w:rPr>
                <w:sz w:val="20"/>
                <w:szCs w:val="20"/>
                <w:color w:val="auto"/>
              </w:rPr>
            </w:pPr>
            <w:r>
              <w:rPr>
                <w:rFonts w:ascii="Arial" w:cs="Arial" w:eastAsia="Arial" w:hAnsi="Arial"/>
                <w:sz w:val="12"/>
                <w:szCs w:val="12"/>
                <w:color w:val="auto"/>
              </w:rPr>
              <w:t>*</w:t>
            </w:r>
          </w:p>
        </w:tc>
      </w:tr>
      <w:tr>
        <w:trPr>
          <w:trHeight w:val="159"/>
        </w:trPr>
        <w:tc>
          <w:tcPr>
            <w:tcW w:w="1120" w:type="dxa"/>
            <w:vAlign w:val="bottom"/>
          </w:tcPr>
          <w:p>
            <w:pPr>
              <w:spacing w:after="0"/>
              <w:rPr>
                <w:sz w:val="13"/>
                <w:szCs w:val="13"/>
                <w:color w:val="auto"/>
              </w:rPr>
            </w:pPr>
          </w:p>
        </w:tc>
        <w:tc>
          <w:tcPr>
            <w:tcW w:w="3780" w:type="dxa"/>
            <w:vAlign w:val="bottom"/>
            <w:gridSpan w:val="3"/>
          </w:tcPr>
          <w:p>
            <w:pPr>
              <w:spacing w:after="0"/>
              <w:rPr>
                <w:sz w:val="20"/>
                <w:szCs w:val="20"/>
                <w:color w:val="auto"/>
              </w:rPr>
            </w:pPr>
            <w:r>
              <w:rPr>
                <w:rFonts w:ascii="Arial" w:cs="Arial" w:eastAsia="Arial" w:hAnsi="Arial"/>
                <w:sz w:val="12"/>
                <w:szCs w:val="12"/>
                <w:color w:val="auto"/>
              </w:rPr>
              <w:t>All directors and executive officers as a group (18 persons)</w:t>
            </w:r>
          </w:p>
        </w:tc>
        <w:tc>
          <w:tcPr>
            <w:tcW w:w="3560" w:type="dxa"/>
            <w:vAlign w:val="bottom"/>
          </w:tcPr>
          <w:p>
            <w:pPr>
              <w:jc w:val="right"/>
              <w:ind w:right="341"/>
              <w:spacing w:after="0"/>
              <w:rPr>
                <w:sz w:val="20"/>
                <w:szCs w:val="20"/>
                <w:color w:val="auto"/>
              </w:rPr>
            </w:pPr>
            <w:r>
              <w:rPr>
                <w:rFonts w:ascii="Arial" w:cs="Arial" w:eastAsia="Arial" w:hAnsi="Arial"/>
                <w:sz w:val="12"/>
                <w:szCs w:val="12"/>
                <w:color w:val="auto"/>
              </w:rPr>
              <w:t>482,851</w:t>
            </w:r>
          </w:p>
        </w:tc>
        <w:tc>
          <w:tcPr>
            <w:tcW w:w="2840" w:type="dxa"/>
            <w:vAlign w:val="bottom"/>
            <w:gridSpan w:val="2"/>
          </w:tcPr>
          <w:p>
            <w:pPr>
              <w:jc w:val="right"/>
              <w:ind w:right="1140"/>
              <w:spacing w:after="0"/>
              <w:rPr>
                <w:sz w:val="20"/>
                <w:szCs w:val="20"/>
                <w:color w:val="auto"/>
              </w:rPr>
            </w:pPr>
            <w:r>
              <w:rPr>
                <w:rFonts w:ascii="Arial" w:cs="Arial" w:eastAsia="Arial" w:hAnsi="Arial"/>
                <w:sz w:val="12"/>
                <w:szCs w:val="12"/>
                <w:color w:val="auto"/>
              </w:rPr>
              <w:t>*</w:t>
            </w:r>
          </w:p>
        </w:tc>
      </w:tr>
      <w:tr>
        <w:trPr>
          <w:trHeight w:val="62"/>
        </w:trPr>
        <w:tc>
          <w:tcPr>
            <w:tcW w:w="1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13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91"/>
        </w:trPr>
        <w:tc>
          <w:tcPr>
            <w:tcW w:w="1200" w:type="dxa"/>
            <w:vAlign w:val="bottom"/>
            <w:gridSpan w:val="2"/>
          </w:tcPr>
          <w:p>
            <w:pPr>
              <w:ind w:left="1120"/>
              <w:spacing w:after="0"/>
              <w:rPr>
                <w:sz w:val="20"/>
                <w:szCs w:val="20"/>
                <w:color w:val="auto"/>
              </w:rPr>
            </w:pPr>
            <w:r>
              <w:rPr>
                <w:rFonts w:ascii="Arial" w:cs="Arial" w:eastAsia="Arial" w:hAnsi="Arial"/>
                <w:sz w:val="12"/>
                <w:szCs w:val="12"/>
                <w:color w:val="auto"/>
              </w:rPr>
              <w:t>*</w:t>
            </w:r>
          </w:p>
        </w:tc>
        <w:tc>
          <w:tcPr>
            <w:tcW w:w="3700" w:type="dxa"/>
            <w:vAlign w:val="bottom"/>
            <w:gridSpan w:val="2"/>
          </w:tcPr>
          <w:p>
            <w:pPr>
              <w:ind w:left="280"/>
              <w:spacing w:after="0"/>
              <w:rPr>
                <w:sz w:val="20"/>
                <w:szCs w:val="20"/>
                <w:color w:val="auto"/>
              </w:rPr>
            </w:pPr>
            <w:r>
              <w:rPr>
                <w:rFonts w:ascii="Arial" w:cs="Arial" w:eastAsia="Arial" w:hAnsi="Arial"/>
                <w:sz w:val="12"/>
                <w:szCs w:val="12"/>
                <w:color w:val="auto"/>
              </w:rPr>
              <w:t>Indicates less than one percent.</w:t>
            </w:r>
          </w:p>
        </w:tc>
        <w:tc>
          <w:tcPr>
            <w:tcW w:w="3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3"/>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60" w:type="dxa"/>
            <w:vAlign w:val="bottom"/>
          </w:tcPr>
          <w:p>
            <w:pPr>
              <w:jc w:val="right"/>
              <w:ind w:right="2701"/>
              <w:spacing w:after="0"/>
              <w:rPr>
                <w:sz w:val="20"/>
                <w:szCs w:val="20"/>
                <w:color w:val="auto"/>
              </w:rPr>
            </w:pPr>
            <w:r>
              <w:rPr>
                <w:rFonts w:ascii="Arial" w:cs="Arial" w:eastAsia="Arial" w:hAnsi="Arial"/>
                <w:sz w:val="12"/>
                <w:szCs w:val="12"/>
                <w:color w:val="auto"/>
              </w:rPr>
              <w:t>78</w:t>
            </w: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9"/>
        </w:trPr>
        <w:tc>
          <w:tcPr>
            <w:tcW w:w="11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38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tcBorders>
          </w:tcPr>
          <w:p>
            <w:pPr>
              <w:spacing w:after="0"/>
              <w:rPr>
                <w:sz w:val="12"/>
                <w:szCs w:val="12"/>
                <w:color w:val="auto"/>
              </w:rPr>
            </w:pPr>
          </w:p>
        </w:tc>
        <w:tc>
          <w:tcPr>
            <w:tcW w:w="3560" w:type="dxa"/>
            <w:vAlign w:val="bottom"/>
            <w:tcBorders>
              <w:bottom w:val="single" w:sz="8" w:color="808080"/>
            </w:tcBorders>
          </w:tcPr>
          <w:p>
            <w:pPr>
              <w:spacing w:after="0"/>
              <w:rPr>
                <w:sz w:val="12"/>
                <w:szCs w:val="12"/>
                <w:color w:val="auto"/>
              </w:rPr>
            </w:pPr>
          </w:p>
        </w:tc>
        <w:tc>
          <w:tcPr>
            <w:tcW w:w="170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7163435</wp:posOffset>
            </wp:positionH>
            <wp:positionV relativeFrom="paragraph">
              <wp:posOffset>-11430</wp:posOffset>
            </wp:positionV>
            <wp:extent cx="1270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2" w:name="page103"/>
    <w:bookmarkEnd w:id="102"/>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ind w:left="1480" w:hanging="357"/>
        <w:spacing w:after="0"/>
        <w:tabs>
          <w:tab w:leader="none" w:pos="1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Unless otherwise indicated, the address of each person in this table is c/o AECOM, 300 South Grand Avenue, 9th Floor, Los Angeles, California 90071, Attention: Corporate Secretary.</w:t>
      </w:r>
    </w:p>
    <w:p>
      <w:pPr>
        <w:spacing w:after="0" w:line="144" w:lineRule="exact"/>
        <w:rPr>
          <w:rFonts w:ascii="Arial" w:cs="Arial" w:eastAsia="Arial" w:hAnsi="Arial"/>
          <w:sz w:val="12"/>
          <w:szCs w:val="12"/>
          <w:color w:val="auto"/>
        </w:rPr>
      </w:pPr>
    </w:p>
    <w:p>
      <w:pPr>
        <w:jc w:val="both"/>
        <w:ind w:left="1480" w:hanging="357"/>
        <w:spacing w:after="0" w:line="250" w:lineRule="auto"/>
        <w:tabs>
          <w:tab w:leader="none" w:pos="1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Calculated pursuant to Rule 13d-3(d) under the Exchange Act. Shares not outstanding that are subject to options or warrants exercisable by the holder thereof and the number of shares of restricted stock units that settle within 60 days of January 11, 2021, are deemed outstanding for the purposes of calculating the number and percentage owned by such stockholder, but not deemed outstanding for the purpose of calculating the percentage of any other person. Unless otherwise noted, all shares listed as beneficially owned by a stockholder are actually outstanding.</w:t>
      </w:r>
    </w:p>
    <w:p>
      <w:pPr>
        <w:spacing w:after="0" w:line="108" w:lineRule="exact"/>
        <w:rPr>
          <w:rFonts w:ascii="Arial" w:cs="Arial" w:eastAsia="Arial" w:hAnsi="Arial"/>
          <w:sz w:val="12"/>
          <w:szCs w:val="12"/>
          <w:color w:val="auto"/>
        </w:rPr>
      </w:pPr>
    </w:p>
    <w:p>
      <w:pPr>
        <w:ind w:left="1480" w:right="20" w:hanging="357"/>
        <w:spacing w:after="0" w:line="274" w:lineRule="auto"/>
        <w:tabs>
          <w:tab w:leader="none" w:pos="1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Based solely on the information set forth in a Schedule 13G/A filed by PRIMECAP Management Company with the SEC on February 12, 2020. Based on such filing, PRIMECAP Management has sole power to vote or to direct the vote with respect to 20,913,533 shares, sole power to dispose or to direct the disposition of 22,135,684 shares.</w:t>
      </w:r>
    </w:p>
    <w:p>
      <w:pPr>
        <w:spacing w:after="0" w:line="95" w:lineRule="exact"/>
        <w:rPr>
          <w:rFonts w:ascii="Arial" w:cs="Arial" w:eastAsia="Arial" w:hAnsi="Arial"/>
          <w:sz w:val="12"/>
          <w:szCs w:val="12"/>
          <w:color w:val="auto"/>
        </w:rPr>
      </w:pPr>
    </w:p>
    <w:p>
      <w:pPr>
        <w:ind w:left="1480" w:right="20" w:hanging="357"/>
        <w:spacing w:after="0" w:line="274" w:lineRule="auto"/>
        <w:tabs>
          <w:tab w:leader="none" w:pos="1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Based solely on the information set forth in a Schedule 13G/A filed by FMR LLC with the SEC on February 7, 2020. Based on such filing, FMR LLC has sole power to vote or to direct the vote with respect to 862,209 shares and sole power to dispose or to direct the disposition of 18,587,199 shares.</w:t>
      </w:r>
    </w:p>
    <w:p>
      <w:pPr>
        <w:spacing w:after="0" w:line="104" w:lineRule="exact"/>
        <w:rPr>
          <w:rFonts w:ascii="Arial" w:cs="Arial" w:eastAsia="Arial" w:hAnsi="Arial"/>
          <w:sz w:val="12"/>
          <w:szCs w:val="12"/>
          <w:color w:val="auto"/>
        </w:rPr>
      </w:pPr>
    </w:p>
    <w:p>
      <w:pPr>
        <w:ind w:left="1480" w:hanging="357"/>
        <w:spacing w:after="0" w:line="274" w:lineRule="auto"/>
        <w:tabs>
          <w:tab w:leader="none" w:pos="1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Based solely on the information set forth in a Schedule 13G/A filed by Blackrock Inc. with the SEC on February 5, 2020. Based on such filing, Blackrock Inc. has sole power to vote or to direct the vote with respect to 13,282,328 shares and sole power to dispose or to direct the disposition of 13,901,989 shares.</w:t>
      </w:r>
    </w:p>
    <w:p>
      <w:pPr>
        <w:spacing w:after="0" w:line="95" w:lineRule="exact"/>
        <w:rPr>
          <w:rFonts w:ascii="Arial" w:cs="Arial" w:eastAsia="Arial" w:hAnsi="Arial"/>
          <w:sz w:val="12"/>
          <w:szCs w:val="12"/>
          <w:color w:val="auto"/>
        </w:rPr>
      </w:pPr>
    </w:p>
    <w:p>
      <w:pPr>
        <w:jc w:val="both"/>
        <w:ind w:left="1480" w:hanging="357"/>
        <w:spacing w:after="0" w:line="256" w:lineRule="auto"/>
        <w:tabs>
          <w:tab w:leader="none" w:pos="1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Based solely on the information set forth in a Schedule 13G/A filed by The Vanguard Group with the SEC on February 12, 2020. Based on such filing, The Vanguard Group has sole power to vote or to direct the vote with respect to 81,042 shares, shared power to vote or to direct the vote with respect to 31,831 shares, sole power to dispose or to direct the disposition of 13,758,808 shares, and shared power to dispose or to direct the disposition of 91,432 shares.</w:t>
      </w:r>
    </w:p>
    <w:p>
      <w:pPr>
        <w:spacing w:after="0" w:line="105" w:lineRule="exact"/>
        <w:rPr>
          <w:rFonts w:ascii="Arial" w:cs="Arial" w:eastAsia="Arial" w:hAnsi="Arial"/>
          <w:sz w:val="12"/>
          <w:szCs w:val="12"/>
          <w:color w:val="auto"/>
        </w:rPr>
      </w:pPr>
    </w:p>
    <w:p>
      <w:pPr>
        <w:ind w:left="1480" w:right="20" w:hanging="357"/>
        <w:spacing w:after="0" w:line="274" w:lineRule="auto"/>
        <w:tabs>
          <w:tab w:leader="none" w:pos="1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Based solely on the information set forth in a Schedule 13D/A filed by Starboard Value LP with the SEC on December 9, 2020. Based on such filing, Starboard Value LP has sole power to vote or to direct the vote with respect to 7,771,992 shares and sole power to dispose or to direct the disposition of 7,771,992 shares.</w:t>
      </w:r>
    </w:p>
    <w:p>
      <w:pPr>
        <w:spacing w:after="0" w:line="104" w:lineRule="exact"/>
        <w:rPr>
          <w:rFonts w:ascii="Arial" w:cs="Arial" w:eastAsia="Arial" w:hAnsi="Arial"/>
          <w:sz w:val="12"/>
          <w:szCs w:val="12"/>
          <w:color w:val="auto"/>
        </w:rPr>
      </w:pPr>
    </w:p>
    <w:p>
      <w:pPr>
        <w:ind w:left="1480" w:hanging="357"/>
        <w:spacing w:after="0"/>
        <w:tabs>
          <w:tab w:leader="none" w:pos="1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Common stock includes 3,090 shares that will be acquired as settlement of restricted stock units prior to March 12, 2021.</w:t>
      </w:r>
    </w:p>
    <w:p>
      <w:pPr>
        <w:spacing w:after="0" w:line="135" w:lineRule="exact"/>
        <w:rPr>
          <w:rFonts w:ascii="Arial" w:cs="Arial" w:eastAsia="Arial" w:hAnsi="Arial"/>
          <w:sz w:val="12"/>
          <w:szCs w:val="12"/>
          <w:color w:val="auto"/>
        </w:rPr>
      </w:pPr>
    </w:p>
    <w:p>
      <w:pPr>
        <w:ind w:left="1480" w:hanging="357"/>
        <w:spacing w:after="0"/>
        <w:tabs>
          <w:tab w:leader="none" w:pos="1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Common stock includes 4,396 shares that will be acquired as settlement of restricted stock units prior to March 12, 2021.</w:t>
      </w:r>
    </w:p>
    <w:p>
      <w:pPr>
        <w:spacing w:after="0" w:line="135" w:lineRule="exact"/>
        <w:rPr>
          <w:rFonts w:ascii="Arial" w:cs="Arial" w:eastAsia="Arial" w:hAnsi="Arial"/>
          <w:sz w:val="12"/>
          <w:szCs w:val="12"/>
          <w:color w:val="auto"/>
        </w:rPr>
      </w:pPr>
    </w:p>
    <w:p>
      <w:pPr>
        <w:ind w:left="1480" w:hanging="357"/>
        <w:spacing w:after="0"/>
        <w:tabs>
          <w:tab w:leader="none" w:pos="1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Common stock includes 1,710 shares that will be acquired as settlement of restricted stock units prior to March 12, 2021.</w:t>
      </w:r>
    </w:p>
    <w:p>
      <w:pPr>
        <w:spacing w:after="0" w:line="144" w:lineRule="exact"/>
        <w:rPr>
          <w:rFonts w:ascii="Arial" w:cs="Arial" w:eastAsia="Arial" w:hAnsi="Arial"/>
          <w:sz w:val="12"/>
          <w:szCs w:val="12"/>
          <w:color w:val="auto"/>
        </w:rPr>
      </w:pPr>
    </w:p>
    <w:p>
      <w:pPr>
        <w:ind w:left="1480" w:hanging="357"/>
        <w:spacing w:after="0" w:line="274" w:lineRule="auto"/>
        <w:tabs>
          <w:tab w:leader="none" w:pos="1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Common stock is as of August 14, 2020, when Michael S. Burke ceased serving as the Chairman of the Board and Chief Executive Officer with the Company and includes 127,714 shares underlying options that are exercisable prior to March 12, 2021 and 41,222 shares held in the Company's RSP.</w:t>
      </w:r>
    </w:p>
    <w:p>
      <w:pPr>
        <w:spacing w:after="0" w:line="95" w:lineRule="exact"/>
        <w:rPr>
          <w:rFonts w:ascii="Arial" w:cs="Arial" w:eastAsia="Arial" w:hAnsi="Arial"/>
          <w:sz w:val="12"/>
          <w:szCs w:val="12"/>
          <w:color w:val="auto"/>
        </w:rPr>
      </w:pPr>
    </w:p>
    <w:p>
      <w:pPr>
        <w:ind w:left="1480" w:hanging="357"/>
        <w:spacing w:after="0"/>
        <w:tabs>
          <w:tab w:leader="none" w:pos="1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Common stock includes 1,077 shares held in the Company's RSP.</w:t>
      </w:r>
    </w:p>
    <w:p>
      <w:pPr>
        <w:spacing w:after="0" w:line="135" w:lineRule="exact"/>
        <w:rPr>
          <w:rFonts w:ascii="Arial" w:cs="Arial" w:eastAsia="Arial" w:hAnsi="Arial"/>
          <w:sz w:val="12"/>
          <w:szCs w:val="12"/>
          <w:color w:val="auto"/>
        </w:rPr>
      </w:pPr>
    </w:p>
    <w:p>
      <w:pPr>
        <w:ind w:left="1480" w:hanging="357"/>
        <w:spacing w:after="0"/>
        <w:tabs>
          <w:tab w:leader="none" w:pos="1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Common stock includes 626 shares held in the Company's RSP.</w:t>
      </w:r>
    </w:p>
    <w:p>
      <w:pPr>
        <w:spacing w:after="0" w:line="144" w:lineRule="exact"/>
        <w:rPr>
          <w:rFonts w:ascii="Arial" w:cs="Arial" w:eastAsia="Arial" w:hAnsi="Arial"/>
          <w:sz w:val="12"/>
          <w:szCs w:val="12"/>
          <w:color w:val="auto"/>
        </w:rPr>
      </w:pPr>
    </w:p>
    <w:p>
      <w:pPr>
        <w:ind w:left="1480" w:hanging="357"/>
        <w:spacing w:after="0"/>
        <w:tabs>
          <w:tab w:leader="none" w:pos="1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Common stock includes 389 shares held in the Company's RSP.</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3" w:name="page104"/>
    <w:bookmarkEnd w:id="103"/>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176770" cy="114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Stockholders Sharing the Same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 xml:space="preserve">Stockholders who have more than one account holding AECOM stock but who share the same address may request to receive only a single set of annual meeting materials. Such requests should be submitted in writing to AECOM, 300 South Grand Avenue, 9th Floor, Los Angeles, California 90071, Attention: Corporate Secretary; online through the Information Request page in the "Investors" section of our website: </w:t>
      </w:r>
      <w:r>
        <w:rPr>
          <w:rFonts w:ascii="Arial" w:cs="Arial" w:eastAsia="Arial" w:hAnsi="Arial"/>
          <w:sz w:val="12"/>
          <w:szCs w:val="12"/>
          <w:i w:val="1"/>
          <w:iCs w:val="1"/>
          <w:color w:val="auto"/>
        </w:rPr>
        <w:t>www.aecom.com</w:t>
      </w:r>
      <w:r>
        <w:rPr>
          <w:rFonts w:ascii="Arial" w:cs="Arial" w:eastAsia="Arial" w:hAnsi="Arial"/>
          <w:sz w:val="12"/>
          <w:szCs w:val="12"/>
          <w:color w:val="auto"/>
        </w:rPr>
        <w:t>; or by calling Investor Relations at (212) 973-2982, and we will promptly make the changes that you have requested. Stockholders who choose to receive only one copy of the annual meeting</w:t>
      </w:r>
      <w:r>
        <w:rPr>
          <w:rFonts w:ascii="Arial" w:cs="Arial" w:eastAsia="Arial" w:hAnsi="Arial"/>
          <w:sz w:val="12"/>
          <w:szCs w:val="12"/>
          <w:i w:val="1"/>
          <w:iCs w:val="1"/>
          <w:color w:val="auto"/>
        </w:rPr>
        <w:t xml:space="preserve"> </w:t>
      </w:r>
      <w:r>
        <w:rPr>
          <w:rFonts w:ascii="Arial" w:cs="Arial" w:eastAsia="Arial" w:hAnsi="Arial"/>
          <w:sz w:val="12"/>
          <w:szCs w:val="12"/>
          <w:color w:val="auto"/>
        </w:rPr>
        <w:t>materials will continue to have access to and utilize separate proxy voting instructions.</w:t>
      </w:r>
    </w:p>
    <w:p>
      <w:pPr>
        <w:spacing w:after="0" w:line="118"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color w:val="auto"/>
        </w:rPr>
        <w:t>If you want to receive a paper proxy or voting instruction form, or other proxy materials for purposes of the 2021 Annual Meeting, follow the instructions included in the Notice of Internet Availability of Proxy Materials that was sent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76770" cy="114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Printed copies of our most recent Annual Report on Form 10-K (including our financial statements) are available upon request without charge by calling Investor Relations at (212) 973-2982; writing to AECOM, 300 South Grand Avenue, 9th Floor, Los Angeles, California 90071, Attention: Corporate Secretary; or soft copies may be obtained from the Investor section of www.aecom.com.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76770" cy="114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2022 Annual Meeting Proposals:</w:t>
      </w:r>
    </w:p>
    <w:p>
      <w:pPr>
        <w:spacing w:after="0" w:line="14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Stockholders who wish to have proposals considered for inclusion in the Proxy Statement and form of proxy for our 2022 Annual Meeting of Stockholders pursuant to Rule 14a-8 under the Exchange Act must cause their proposals to be received in writing by our Corporate Secretary at the address first set forth on the first page of this Proxy Statement no later than September 17, 2021. Any proposal should be addressed to our Corporate Secretary and may be included in next year's proxy materials only if such proposal complies with our Bylaws and the rules and regulations promulgated by the Securities and Exchange Commission. Nothing in this section shall be deemed to require us to include in our Proxy Statement or our proxy relating to any annual meeting any stockholder proposal that does not meet all of the requirements for inclusion established by the Securities and Exchange Commission.</w:t>
      </w:r>
    </w:p>
    <w:p>
      <w:pPr>
        <w:spacing w:after="0" w:line="119"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In addition, the Company's Bylaws require that the Company be given advance written notice of nominations for election to the Board and other matters that stockholders wish to present for action at an annual meeting of stockholders (other than matters included in the Company's proxy materials in accordance with Rule 14a-8(e) under the Exchange Act). The Corporate Secretary must receive such notice not later than November 26, 2021, and no earlier than October 27, 2021, for matters to be presented at the 2022 Annual Meeting of Stockholders. However, in the event that the date of the 2022 Annual Meeting of Stockholders is held before January 25, 2022, or after March 26, 2022, for notice by the stockholder to be timely it must be received no more than 120 days prior to the date of the 2022 Annual Meeting of Stockholders and not less than the later of the close of business (a) 90 days prior to the date of the 2022 Annual Meeting of Stockholders and (b) the 10th day following the day on which public announcement of such meeting was first made by the Company. If timely notice is not received by the Company, then the Company may exercise discretionary voting authority under proxies it solicits to vote in accordance with its best judgment on any such stockholder proposal or nomination.</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Pursuant to the proxy access provisions in the Company's Bylaws, a stockholder or group of up to 20 stockholders owning in the aggregate 3% or more of the Company's outstanding common stock continuously for at least three years to nominate and include in our proxy materials director nominees constituting up to 20% of the number of directors in office or two nominees, whichever is greater, provided the stockholder(s) and nominee(s) satisfy the requirements in the Company's Bylaws. If a stockholder or group of stockholders wishes to nominate one or more director candidates to be included in the Company's proxy statement for the 2022 Annual Meeting of Stockholders,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4" w:name="page105"/>
    <w:bookmarkEnd w:id="104"/>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the Corporate Secretary must receive proper written notice of the nomination no later than the close of business on September 17, 2021, and no earlier than August 18, 2021, and the nomination must otherwise comply with our Bylaws. However, in the event that the date of the 2022 Annual Meeting of Stockholders is held before January 25, 2022, or after March 26, 2022, for notice by the stockholder(s) to be timely it must be received no more than 150 days prior to the date of the 2022 Annual Meeting of Stockholders and not less than the later of the close of business (a) 120 days prior to the date of the 2022 Annual Meeting of Stockholders and (b) the 10th day following the day on which public announcement of such meeting was first made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76770" cy="114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1"/>
          <w:szCs w:val="11"/>
          <w:color w:val="auto"/>
        </w:rPr>
        <w:t xml:space="preserve">In our filings with the Securities and Exchange Commission, information is sometimes "incorporated by reference." This means that we are referring you to information that has previously been filed with the Securities and Exchange Commission, information that should be considered as part of the filing that you are reading. Our Annual Report on Form 10-K, filed with the Securities and Exchange Commission on November 19, 2020, is incorporated by reference herein. Printed copies of our most recent Annual Report on Form 10-K and other reports incorporated herein by reference are available upon request without charge by calling Investor Relations at (212) 973-2982; writing to AECOM, 300 South Grand Avenue, 9th Floor, Los Angeles, California 90071, Attention: Corporate Secretary; or requesting online through the Information Request page in the "Investors" section of our website: </w:t>
      </w:r>
      <w:r>
        <w:rPr>
          <w:rFonts w:ascii="Arial" w:cs="Arial" w:eastAsia="Arial" w:hAnsi="Arial"/>
          <w:sz w:val="11"/>
          <w:szCs w:val="11"/>
          <w:i w:val="1"/>
          <w:iCs w:val="1"/>
          <w:color w:val="auto"/>
        </w:rPr>
        <w:t>www.aecom.com</w:t>
      </w:r>
      <w:r>
        <w:rPr>
          <w:rFonts w:ascii="Arial" w:cs="Arial" w:eastAsia="Arial" w:hAnsi="Arial"/>
          <w:sz w:val="11"/>
          <w:szCs w:val="11"/>
          <w:color w:val="auto"/>
        </w:rPr>
        <w:t>. Such materials will be provided by first class mail or other equally prompt means. Based on Securities and Exchange Commission regulations, the reports of the Compensation Committee and Audit Committee, included above, are not specifically incorporated by reference into any other filings that we make with the Securities and Exchange Commission. This Proxy Statement is sent to you as part of the proxy materials for the 2021 Annual Meeting. You may not consider this Proxy Statement as material for soliciting the purchase or sale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76770" cy="114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Board knows of no other matters that will be presented for consideration at the 2021 Annual Meeting. If any other matters are properly brought before the 2021 Annual Meeting, it is the intention of the persons named in the accompanying proxy to vote on such matters in accordance with their best judgment. It is important that the proxies be returned promptly and that your shares be represented. Stockholders are urged to vote promptly by either electronically submitting a proxy or voting instruction card over the Internet, by telephone, or by delivering to us or your broker a signed and dated proxy card.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509270" cy="2317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0927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Manav Kumar</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Corporate Secretary</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January 15, 2021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83755" cy="184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5" w:name="page106"/>
    <w:bookmarkEnd w:id="105"/>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b w:val="1"/>
          <w:bCs w:val="1"/>
          <w:color w:val="00B2E5"/>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176770" cy="114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00B2E5"/>
        </w:rPr>
        <w:t>Reconciliation of Non-GAAP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76770" cy="114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Our proxy contains financial information calculated other than in accordance with U.S. generally accepted accounting principles ("GAAP"). In particular, the Company believes that non-GAAP financial measures such as adjusted EBITDA, adjusted EPS and free cash flow provide a meaningful perspective on its business results as the Company utilizes this information to evaluate and manage the business. We use adjusted EBITDA and adjusted EPS to exclude the impact of non-operating items, such as certain amortization expense, certain depreciation expense, restructuring costs and non-core operating losses, to aid investors in better understanding our core performance results. We use free cash flow to represent the cash generated after capital expenditures to maintain our business. Our non-GAAP disclosure has limitations as an analytical tool, should not be viewed as a substitute for financial information determined in accordance with GAAP, and should not be considered in isolation or as a substitute for analysis of our results as reported under GAAP, nor is it necessarily comparable to non-GAAP performance measures that may be presented by other companies.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00B2E5"/>
        </w:rPr>
        <w:t>Reconciliation of Net Income Attributable to AECOM From Continuing Operations to EBITDA to Adjusted EBITDA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840" w:type="dxa"/>
            <w:vAlign w:val="bottom"/>
            <w:gridSpan w:val="3"/>
          </w:tcPr>
          <w:p>
            <w:pPr>
              <w:jc w:val="right"/>
              <w:ind w:right="2420"/>
              <w:spacing w:after="0"/>
              <w:rPr>
                <w:sz w:val="20"/>
                <w:szCs w:val="20"/>
                <w:color w:val="auto"/>
              </w:rPr>
            </w:pPr>
            <w:r>
              <w:rPr>
                <w:rFonts w:ascii="Arial" w:cs="Arial" w:eastAsia="Arial" w:hAnsi="Arial"/>
                <w:sz w:val="12"/>
                <w:szCs w:val="12"/>
                <w:b w:val="1"/>
                <w:bCs w:val="1"/>
                <w:color w:val="auto"/>
                <w:w w:val="99"/>
              </w:rPr>
              <w:t>Twelve</w:t>
            </w:r>
          </w:p>
        </w:tc>
        <w:tc>
          <w:tcPr>
            <w:tcW w:w="0" w:type="dxa"/>
            <w:vAlign w:val="bottom"/>
          </w:tcPr>
          <w:p>
            <w:pPr>
              <w:spacing w:after="0"/>
              <w:rPr>
                <w:sz w:val="1"/>
                <w:szCs w:val="1"/>
                <w:color w:val="auto"/>
              </w:rPr>
            </w:pPr>
          </w:p>
        </w:tc>
      </w:tr>
      <w:tr>
        <w:trPr>
          <w:trHeight w:val="137"/>
        </w:trPr>
        <w:tc>
          <w:tcPr>
            <w:tcW w:w="2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840" w:type="dxa"/>
            <w:vAlign w:val="bottom"/>
            <w:gridSpan w:val="3"/>
          </w:tcPr>
          <w:p>
            <w:pPr>
              <w:jc w:val="right"/>
              <w:ind w:right="2420"/>
              <w:spacing w:after="0" w:line="137" w:lineRule="exact"/>
              <w:rPr>
                <w:sz w:val="20"/>
                <w:szCs w:val="20"/>
                <w:color w:val="auto"/>
              </w:rPr>
            </w:pPr>
            <w:r>
              <w:rPr>
                <w:rFonts w:ascii="Arial" w:cs="Arial" w:eastAsia="Arial" w:hAnsi="Arial"/>
                <w:sz w:val="12"/>
                <w:szCs w:val="12"/>
                <w:b w:val="1"/>
                <w:bCs w:val="1"/>
                <w:color w:val="auto"/>
                <w:w w:val="93"/>
              </w:rPr>
              <w:t>Months</w:t>
            </w:r>
          </w:p>
        </w:tc>
        <w:tc>
          <w:tcPr>
            <w:tcW w:w="0" w:type="dxa"/>
            <w:vAlign w:val="bottom"/>
          </w:tcPr>
          <w:p>
            <w:pPr>
              <w:spacing w:after="0"/>
              <w:rPr>
                <w:sz w:val="1"/>
                <w:szCs w:val="1"/>
                <w:color w:val="auto"/>
              </w:rPr>
            </w:pPr>
          </w:p>
        </w:tc>
      </w:tr>
      <w:tr>
        <w:trPr>
          <w:trHeight w:val="137"/>
        </w:trPr>
        <w:tc>
          <w:tcPr>
            <w:tcW w:w="2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840" w:type="dxa"/>
            <w:vAlign w:val="bottom"/>
            <w:gridSpan w:val="3"/>
          </w:tcPr>
          <w:p>
            <w:pPr>
              <w:jc w:val="right"/>
              <w:ind w:right="2420"/>
              <w:spacing w:after="0" w:line="137"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137"/>
        </w:trPr>
        <w:tc>
          <w:tcPr>
            <w:tcW w:w="2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840" w:type="dxa"/>
            <w:vAlign w:val="bottom"/>
            <w:gridSpan w:val="3"/>
          </w:tcPr>
          <w:p>
            <w:pPr>
              <w:jc w:val="right"/>
              <w:ind w:right="2420"/>
              <w:spacing w:after="0" w:line="137" w:lineRule="exact"/>
              <w:rPr>
                <w:sz w:val="20"/>
                <w:szCs w:val="20"/>
                <w:color w:val="auto"/>
              </w:rPr>
            </w:pPr>
            <w:r>
              <w:rPr>
                <w:rFonts w:ascii="Arial" w:cs="Arial" w:eastAsia="Arial" w:hAnsi="Arial"/>
                <w:sz w:val="12"/>
                <w:szCs w:val="12"/>
                <w:b w:val="1"/>
                <w:bCs w:val="1"/>
                <w:color w:val="auto"/>
              </w:rPr>
              <w:t>Sep 30</w:t>
            </w:r>
          </w:p>
        </w:tc>
        <w:tc>
          <w:tcPr>
            <w:tcW w:w="0" w:type="dxa"/>
            <w:vAlign w:val="bottom"/>
          </w:tcPr>
          <w:p>
            <w:pPr>
              <w:spacing w:after="0"/>
              <w:rPr>
                <w:sz w:val="1"/>
                <w:szCs w:val="1"/>
                <w:color w:val="auto"/>
              </w:rPr>
            </w:pPr>
          </w:p>
        </w:tc>
      </w:tr>
      <w:tr>
        <w:trPr>
          <w:trHeight w:val="151"/>
        </w:trPr>
        <w:tc>
          <w:tcPr>
            <w:tcW w:w="8460" w:type="dxa"/>
            <w:vAlign w:val="bottom"/>
            <w:gridSpan w:val="3"/>
            <w:vMerge w:val="restart"/>
          </w:tcPr>
          <w:p>
            <w:pPr>
              <w:spacing w:after="0"/>
              <w:rPr>
                <w:sz w:val="20"/>
                <w:szCs w:val="20"/>
                <w:color w:val="auto"/>
              </w:rPr>
            </w:pPr>
            <w:r>
              <w:rPr>
                <w:rFonts w:ascii="Arial" w:cs="Arial" w:eastAsia="Arial" w:hAnsi="Arial"/>
                <w:sz w:val="12"/>
                <w:szCs w:val="12"/>
                <w:color w:val="auto"/>
              </w:rPr>
              <w:t>Net Income attributable to AECOM from continuing operations</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2020</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8460" w:type="dxa"/>
            <w:vAlign w:val="bottom"/>
            <w:gridSpan w:val="3"/>
            <w:vMerge w:val="continue"/>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2"/>
                <w:szCs w:val="12"/>
                <w:color w:val="auto"/>
                <w:w w:val="97"/>
              </w:rPr>
              <w:t>$170.4</w:t>
            </w:r>
          </w:p>
        </w:tc>
        <w:tc>
          <w:tcPr>
            <w:tcW w:w="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8460" w:type="dxa"/>
            <w:vAlign w:val="bottom"/>
            <w:gridSpan w:val="3"/>
          </w:tcPr>
          <w:p>
            <w:pPr>
              <w:ind w:left="100"/>
              <w:spacing w:after="0" w:line="137" w:lineRule="exact"/>
              <w:rPr>
                <w:sz w:val="20"/>
                <w:szCs w:val="20"/>
                <w:color w:val="auto"/>
              </w:rPr>
            </w:pPr>
            <w:r>
              <w:rPr>
                <w:rFonts w:ascii="Arial" w:cs="Arial" w:eastAsia="Arial" w:hAnsi="Arial"/>
                <w:sz w:val="12"/>
                <w:szCs w:val="12"/>
                <w:color w:val="auto"/>
              </w:rPr>
              <w:t>Income tax expense (benefit)</w:t>
            </w: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45.8</w:t>
            </w: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460" w:type="dxa"/>
            <w:vAlign w:val="bottom"/>
            <w:gridSpan w:val="3"/>
          </w:tcPr>
          <w:p>
            <w:pPr>
              <w:ind w:left="100"/>
              <w:spacing w:after="0" w:line="137" w:lineRule="exact"/>
              <w:rPr>
                <w:sz w:val="20"/>
                <w:szCs w:val="20"/>
                <w:color w:val="auto"/>
              </w:rPr>
            </w:pPr>
            <w:r>
              <w:rPr>
                <w:rFonts w:ascii="Arial" w:cs="Arial" w:eastAsia="Arial" w:hAnsi="Arial"/>
                <w:sz w:val="12"/>
                <w:szCs w:val="12"/>
                <w:color w:val="auto"/>
              </w:rPr>
              <w:t>Income attributable to AECOM</w:t>
            </w: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216.2</w:t>
            </w: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460" w:type="dxa"/>
            <w:vAlign w:val="bottom"/>
            <w:gridSpan w:val="3"/>
          </w:tcPr>
          <w:p>
            <w:pPr>
              <w:ind w:left="100"/>
              <w:spacing w:after="0" w:line="137" w:lineRule="exact"/>
              <w:rPr>
                <w:sz w:val="20"/>
                <w:szCs w:val="20"/>
                <w:color w:val="auto"/>
              </w:rPr>
            </w:pPr>
            <w:r>
              <w:rPr>
                <w:rFonts w:ascii="Arial" w:cs="Arial" w:eastAsia="Arial" w:hAnsi="Arial"/>
                <w:sz w:val="12"/>
                <w:szCs w:val="12"/>
                <w:color w:val="auto"/>
              </w:rPr>
              <w:t>Depreciation and amortization expense(1)</w:t>
            </w: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192.7</w:t>
            </w: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460" w:type="dxa"/>
            <w:vAlign w:val="bottom"/>
            <w:gridSpan w:val="3"/>
          </w:tcPr>
          <w:p>
            <w:pPr>
              <w:ind w:left="100"/>
              <w:spacing w:after="0" w:line="137" w:lineRule="exact"/>
              <w:rPr>
                <w:sz w:val="20"/>
                <w:szCs w:val="20"/>
                <w:color w:val="auto"/>
              </w:rPr>
            </w:pPr>
            <w:r>
              <w:rPr>
                <w:rFonts w:ascii="Arial" w:cs="Arial" w:eastAsia="Arial" w:hAnsi="Arial"/>
                <w:sz w:val="12"/>
                <w:szCs w:val="12"/>
                <w:color w:val="auto"/>
              </w:rPr>
              <w:t>Interest income(2)</w:t>
            </w:r>
          </w:p>
        </w:tc>
        <w:tc>
          <w:tcPr>
            <w:tcW w:w="4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(10.4)</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460" w:type="dxa"/>
            <w:vAlign w:val="bottom"/>
            <w:gridSpan w:val="3"/>
          </w:tcPr>
          <w:p>
            <w:pPr>
              <w:ind w:left="100"/>
              <w:spacing w:after="0" w:line="137" w:lineRule="exact"/>
              <w:rPr>
                <w:sz w:val="20"/>
                <w:szCs w:val="20"/>
                <w:color w:val="auto"/>
              </w:rPr>
            </w:pPr>
            <w:r>
              <w:rPr>
                <w:rFonts w:ascii="Arial" w:cs="Arial" w:eastAsia="Arial" w:hAnsi="Arial"/>
                <w:sz w:val="12"/>
                <w:szCs w:val="12"/>
                <w:color w:val="auto"/>
              </w:rPr>
              <w:t>Interest expense</w:t>
            </w: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159.8</w:t>
            </w: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60" w:type="dxa"/>
            <w:vAlign w:val="bottom"/>
            <w:gridSpan w:val="3"/>
          </w:tcPr>
          <w:p>
            <w:pPr>
              <w:ind w:left="100"/>
              <w:spacing w:after="0"/>
              <w:rPr>
                <w:sz w:val="20"/>
                <w:szCs w:val="20"/>
                <w:color w:val="auto"/>
              </w:rPr>
            </w:pPr>
            <w:r>
              <w:rPr>
                <w:rFonts w:ascii="Arial" w:cs="Arial" w:eastAsia="Arial" w:hAnsi="Arial"/>
                <w:sz w:val="12"/>
                <w:szCs w:val="12"/>
                <w:color w:val="auto"/>
              </w:rPr>
              <w:t>Amortized bank fees included in interest expense</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(6.2)</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460" w:type="dxa"/>
            <w:vAlign w:val="bottom"/>
            <w:gridSpan w:val="3"/>
          </w:tcPr>
          <w:p>
            <w:pPr>
              <w:spacing w:after="0" w:line="114" w:lineRule="exact"/>
              <w:rPr>
                <w:sz w:val="20"/>
                <w:szCs w:val="20"/>
                <w:color w:val="auto"/>
              </w:rPr>
            </w:pPr>
            <w:r>
              <w:rPr>
                <w:rFonts w:ascii="Arial" w:cs="Arial" w:eastAsia="Arial" w:hAnsi="Arial"/>
                <w:sz w:val="12"/>
                <w:szCs w:val="12"/>
                <w:color w:val="auto"/>
              </w:rPr>
              <w:t>EBITDA</w:t>
            </w:r>
          </w:p>
        </w:tc>
        <w:tc>
          <w:tcPr>
            <w:tcW w:w="3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color w:val="auto"/>
              </w:rPr>
              <w:t>552.1</w:t>
            </w:r>
          </w:p>
        </w:tc>
        <w:tc>
          <w:tcPr>
            <w:tcW w:w="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8460" w:type="dxa"/>
            <w:vAlign w:val="bottom"/>
            <w:gridSpan w:val="3"/>
          </w:tcPr>
          <w:p>
            <w:pPr>
              <w:spacing w:after="0" w:line="137" w:lineRule="exact"/>
              <w:rPr>
                <w:sz w:val="20"/>
                <w:szCs w:val="20"/>
                <w:color w:val="auto"/>
              </w:rPr>
            </w:pPr>
            <w:r>
              <w:rPr>
                <w:rFonts w:ascii="Arial" w:cs="Arial" w:eastAsia="Arial" w:hAnsi="Arial"/>
                <w:sz w:val="12"/>
                <w:szCs w:val="12"/>
                <w:color w:val="auto"/>
              </w:rPr>
              <w:t>Noncore operating losses &amp; transaction-related expenses</w:t>
            </w: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5.6</w:t>
            </w: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460" w:type="dxa"/>
            <w:vAlign w:val="bottom"/>
            <w:gridSpan w:val="3"/>
          </w:tcPr>
          <w:p>
            <w:pPr>
              <w:ind w:left="100"/>
              <w:spacing w:after="0" w:line="137" w:lineRule="exact"/>
              <w:rPr>
                <w:sz w:val="20"/>
                <w:szCs w:val="20"/>
                <w:color w:val="auto"/>
              </w:rPr>
            </w:pPr>
            <w:r>
              <w:rPr>
                <w:rFonts w:ascii="Arial" w:cs="Arial" w:eastAsia="Arial" w:hAnsi="Arial"/>
                <w:sz w:val="12"/>
                <w:szCs w:val="12"/>
                <w:color w:val="auto"/>
              </w:rPr>
              <w:t>Impairment of long-lived assets</w:t>
            </w:r>
          </w:p>
        </w:tc>
        <w:tc>
          <w:tcPr>
            <w:tcW w:w="2840" w:type="dxa"/>
            <w:vAlign w:val="bottom"/>
            <w:gridSpan w:val="3"/>
          </w:tcPr>
          <w:p>
            <w:pPr>
              <w:jc w:val="right"/>
              <w:ind w:right="246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8460" w:type="dxa"/>
            <w:vAlign w:val="bottom"/>
            <w:gridSpan w:val="3"/>
          </w:tcPr>
          <w:p>
            <w:pPr>
              <w:ind w:left="100"/>
              <w:spacing w:after="0" w:line="137" w:lineRule="exact"/>
              <w:rPr>
                <w:sz w:val="20"/>
                <w:szCs w:val="20"/>
                <w:color w:val="auto"/>
              </w:rPr>
            </w:pPr>
            <w:r>
              <w:rPr>
                <w:rFonts w:ascii="Arial" w:cs="Arial" w:eastAsia="Arial" w:hAnsi="Arial"/>
                <w:sz w:val="12"/>
                <w:szCs w:val="12"/>
                <w:color w:val="auto"/>
              </w:rPr>
              <w:t>Restructuring costs</w:t>
            </w: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188.4</w:t>
            </w: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460" w:type="dxa"/>
            <w:vAlign w:val="bottom"/>
            <w:gridSpan w:val="3"/>
          </w:tcPr>
          <w:p>
            <w:pPr>
              <w:ind w:left="100"/>
              <w:spacing w:after="0" w:line="137" w:lineRule="exact"/>
              <w:rPr>
                <w:sz w:val="20"/>
                <w:szCs w:val="20"/>
                <w:color w:val="auto"/>
              </w:rPr>
            </w:pPr>
            <w:r>
              <w:rPr>
                <w:rFonts w:ascii="Arial" w:cs="Arial" w:eastAsia="Arial" w:hAnsi="Arial"/>
                <w:sz w:val="12"/>
                <w:szCs w:val="12"/>
                <w:color w:val="auto"/>
              </w:rPr>
              <w:t>Gain on disposal activities</w:t>
            </w:r>
          </w:p>
        </w:tc>
        <w:tc>
          <w:tcPr>
            <w:tcW w:w="2840" w:type="dxa"/>
            <w:vAlign w:val="bottom"/>
            <w:gridSpan w:val="3"/>
          </w:tcPr>
          <w:p>
            <w:pPr>
              <w:jc w:val="right"/>
              <w:ind w:right="246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8460" w:type="dxa"/>
            <w:vAlign w:val="bottom"/>
            <w:gridSpan w:val="3"/>
          </w:tcPr>
          <w:p>
            <w:pPr>
              <w:spacing w:after="0"/>
              <w:rPr>
                <w:sz w:val="20"/>
                <w:szCs w:val="20"/>
                <w:color w:val="auto"/>
              </w:rPr>
            </w:pPr>
            <w:r>
              <w:rPr>
                <w:rFonts w:ascii="Arial" w:cs="Arial" w:eastAsia="Arial" w:hAnsi="Arial"/>
                <w:sz w:val="12"/>
                <w:szCs w:val="12"/>
                <w:color w:val="auto"/>
              </w:rPr>
              <w:t>Depreciation expense included in above adjustments</w:t>
            </w:r>
          </w:p>
        </w:tc>
        <w:tc>
          <w:tcPr>
            <w:tcW w:w="2840" w:type="dxa"/>
            <w:vAlign w:val="bottom"/>
            <w:gridSpan w:val="3"/>
          </w:tcPr>
          <w:p>
            <w:pPr>
              <w:jc w:val="right"/>
              <w:ind w:right="24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8460" w:type="dxa"/>
            <w:vAlign w:val="bottom"/>
            <w:gridSpan w:val="3"/>
          </w:tcPr>
          <w:p>
            <w:pPr>
              <w:spacing w:after="0" w:line="126" w:lineRule="exact"/>
              <w:rPr>
                <w:sz w:val="20"/>
                <w:szCs w:val="20"/>
                <w:color w:val="auto"/>
              </w:rPr>
            </w:pPr>
            <w:r>
              <w:rPr>
                <w:rFonts w:ascii="Arial" w:cs="Arial" w:eastAsia="Arial" w:hAnsi="Arial"/>
                <w:sz w:val="12"/>
                <w:szCs w:val="12"/>
                <w:color w:val="auto"/>
              </w:rPr>
              <w:t>Adjusted EBITDA</w:t>
            </w:r>
          </w:p>
        </w:tc>
        <w:tc>
          <w:tcPr>
            <w:tcW w:w="38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u w:val="single" w:color="auto"/>
                <w:color w:val="auto"/>
                <w:w w:val="97"/>
              </w:rPr>
              <w:t>$</w:t>
            </w:r>
            <w:r>
              <w:rPr>
                <w:rFonts w:ascii="Arial" w:cs="Arial" w:eastAsia="Arial" w:hAnsi="Arial"/>
                <w:sz w:val="12"/>
                <w:szCs w:val="12"/>
                <w:color w:val="auto"/>
                <w:w w:val="97"/>
              </w:rPr>
              <w:t>746.1</w:t>
            </w:r>
          </w:p>
        </w:tc>
        <w:tc>
          <w:tcPr>
            <w:tcW w:w="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4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6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40" w:type="dxa"/>
            <w:vAlign w:val="bottom"/>
          </w:tcPr>
          <w:p>
            <w:pPr>
              <w:spacing w:after="0"/>
              <w:rPr>
                <w:sz w:val="20"/>
                <w:szCs w:val="20"/>
                <w:color w:val="auto"/>
              </w:rPr>
            </w:pPr>
            <w:r>
              <w:rPr>
                <w:rFonts w:ascii="Arial" w:cs="Arial" w:eastAsia="Arial" w:hAnsi="Arial"/>
                <w:sz w:val="12"/>
                <w:szCs w:val="12"/>
                <w:color w:val="auto"/>
              </w:rPr>
              <w:t>(1)</w:t>
            </w:r>
          </w:p>
        </w:tc>
        <w:tc>
          <w:tcPr>
            <w:tcW w:w="8220" w:type="dxa"/>
            <w:vAlign w:val="bottom"/>
            <w:gridSpan w:val="2"/>
          </w:tcPr>
          <w:p>
            <w:pPr>
              <w:ind w:left="120"/>
              <w:spacing w:after="0"/>
              <w:rPr>
                <w:sz w:val="20"/>
                <w:szCs w:val="20"/>
                <w:color w:val="auto"/>
              </w:rPr>
            </w:pPr>
            <w:r>
              <w:rPr>
                <w:rFonts w:ascii="Arial" w:cs="Arial" w:eastAsia="Arial" w:hAnsi="Arial"/>
                <w:sz w:val="12"/>
                <w:szCs w:val="12"/>
                <w:color w:val="auto"/>
              </w:rPr>
              <w:t>Excludes depreciation from noncore operating losses and accelerated depreciation of project management tool</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Pr>
          <w:p>
            <w:pPr>
              <w:spacing w:after="0"/>
              <w:rPr>
                <w:sz w:val="20"/>
                <w:szCs w:val="20"/>
                <w:color w:val="auto"/>
              </w:rPr>
            </w:pPr>
            <w:r>
              <w:rPr>
                <w:rFonts w:ascii="Arial" w:cs="Arial" w:eastAsia="Arial" w:hAnsi="Arial"/>
                <w:sz w:val="12"/>
                <w:szCs w:val="12"/>
                <w:color w:val="auto"/>
              </w:rPr>
              <w:t>(2)</w:t>
            </w:r>
          </w:p>
        </w:tc>
        <w:tc>
          <w:tcPr>
            <w:tcW w:w="8220" w:type="dxa"/>
            <w:vAlign w:val="bottom"/>
            <w:gridSpan w:val="2"/>
          </w:tcPr>
          <w:p>
            <w:pPr>
              <w:ind w:left="120"/>
              <w:spacing w:after="0"/>
              <w:rPr>
                <w:sz w:val="20"/>
                <w:szCs w:val="20"/>
                <w:color w:val="auto"/>
              </w:rPr>
            </w:pPr>
            <w:r>
              <w:rPr>
                <w:rFonts w:ascii="Arial" w:cs="Arial" w:eastAsia="Arial" w:hAnsi="Arial"/>
                <w:sz w:val="12"/>
                <w:szCs w:val="12"/>
                <w:color w:val="auto"/>
              </w:rPr>
              <w:t>Included in other income</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60" w:type="dxa"/>
            <w:vAlign w:val="bottom"/>
            <w:gridSpan w:val="3"/>
          </w:tcPr>
          <w:p>
            <w:pPr>
              <w:spacing w:after="0"/>
              <w:rPr>
                <w:sz w:val="20"/>
                <w:szCs w:val="20"/>
                <w:color w:val="auto"/>
              </w:rPr>
            </w:pPr>
            <w:r>
              <w:rPr>
                <w:rFonts w:ascii="Arial" w:cs="Arial" w:eastAsia="Arial" w:hAnsi="Arial"/>
                <w:sz w:val="12"/>
                <w:szCs w:val="12"/>
                <w:color w:val="auto"/>
              </w:rPr>
              <w:t>Note: Variances within tables are due to rounding.</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0" w:type="dxa"/>
            <w:vAlign w:val="bottom"/>
          </w:tcPr>
          <w:p>
            <w:pPr>
              <w:ind w:left="3100"/>
              <w:spacing w:after="0"/>
              <w:rPr>
                <w:sz w:val="20"/>
                <w:szCs w:val="20"/>
                <w:color w:val="auto"/>
              </w:rPr>
            </w:pPr>
            <w:r>
              <w:rPr>
                <w:rFonts w:ascii="Arial" w:cs="Arial" w:eastAsia="Arial" w:hAnsi="Arial"/>
                <w:sz w:val="12"/>
                <w:szCs w:val="12"/>
                <w:color w:val="auto"/>
              </w:rPr>
              <w:t>A-1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40" w:type="dxa"/>
            <w:vAlign w:val="bottom"/>
            <w:tcBorders>
              <w:bottom w:val="single" w:sz="8" w:color="808080"/>
            </w:tcBorders>
          </w:tcPr>
          <w:p>
            <w:pPr>
              <w:spacing w:after="0"/>
              <w:rPr>
                <w:sz w:val="12"/>
                <w:szCs w:val="12"/>
                <w:color w:val="auto"/>
              </w:rPr>
            </w:pPr>
          </w:p>
        </w:tc>
        <w:tc>
          <w:tcPr>
            <w:tcW w:w="2220" w:type="dxa"/>
            <w:vAlign w:val="bottom"/>
            <w:tcBorders>
              <w:bottom w:val="single" w:sz="8" w:color="808080"/>
            </w:tcBorders>
          </w:tcPr>
          <w:p>
            <w:pPr>
              <w:spacing w:after="0"/>
              <w:rPr>
                <w:sz w:val="12"/>
                <w:szCs w:val="12"/>
                <w:color w:val="auto"/>
              </w:rPr>
            </w:pPr>
          </w:p>
        </w:tc>
        <w:tc>
          <w:tcPr>
            <w:tcW w:w="600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4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7163435</wp:posOffset>
            </wp:positionH>
            <wp:positionV relativeFrom="paragraph">
              <wp:posOffset>-11430</wp:posOffset>
            </wp:positionV>
            <wp:extent cx="1270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59"/>
        </w:trPr>
        <w:tc>
          <w:tcPr>
            <w:tcW w:w="4980" w:type="dxa"/>
            <w:vAlign w:val="bottom"/>
          </w:tcPr>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Table of Contents</w:t>
              </w:r>
            </w:hyperlink>
          </w:p>
        </w:tc>
        <w:tc>
          <w:tcPr>
            <w:tcW w:w="2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4980" w:type="dxa"/>
            <w:vAlign w:val="bottom"/>
          </w:tcPr>
          <w:p>
            <w:pPr>
              <w:spacing w:after="0"/>
              <w:rPr>
                <w:sz w:val="20"/>
                <w:szCs w:val="20"/>
                <w:color w:val="auto"/>
              </w:rPr>
            </w:pPr>
            <w:r>
              <w:rPr>
                <w:rFonts w:ascii="Arial" w:cs="Arial" w:eastAsia="Arial" w:hAnsi="Arial"/>
                <w:sz w:val="12"/>
                <w:szCs w:val="12"/>
                <w:b w:val="1"/>
                <w:bCs w:val="1"/>
                <w:color w:val="00B2E5"/>
              </w:rPr>
              <w:t>Reconciliation of Adjusted EPS</w:t>
            </w:r>
          </w:p>
        </w:tc>
        <w:tc>
          <w:tcPr>
            <w:tcW w:w="2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9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4"/>
          </w:tcPr>
          <w:p>
            <w:pPr>
              <w:jc w:val="right"/>
              <w:ind w:right="2420"/>
              <w:spacing w:after="0"/>
              <w:rPr>
                <w:sz w:val="20"/>
                <w:szCs w:val="20"/>
                <w:color w:val="auto"/>
              </w:rPr>
            </w:pPr>
            <w:r>
              <w:rPr>
                <w:rFonts w:ascii="Arial" w:cs="Arial" w:eastAsia="Arial" w:hAnsi="Arial"/>
                <w:sz w:val="12"/>
                <w:szCs w:val="12"/>
                <w:b w:val="1"/>
                <w:bCs w:val="1"/>
                <w:color w:val="auto"/>
                <w:w w:val="99"/>
              </w:rPr>
              <w:t>Twelve</w:t>
            </w:r>
          </w:p>
        </w:tc>
        <w:tc>
          <w:tcPr>
            <w:tcW w:w="0" w:type="dxa"/>
            <w:vAlign w:val="bottom"/>
          </w:tcPr>
          <w:p>
            <w:pPr>
              <w:spacing w:after="0"/>
              <w:rPr>
                <w:sz w:val="1"/>
                <w:szCs w:val="1"/>
                <w:color w:val="auto"/>
              </w:rPr>
            </w:pPr>
          </w:p>
        </w:tc>
      </w:tr>
      <w:tr>
        <w:trPr>
          <w:trHeight w:val="137"/>
        </w:trPr>
        <w:tc>
          <w:tcPr>
            <w:tcW w:w="49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40" w:type="dxa"/>
            <w:vAlign w:val="bottom"/>
            <w:gridSpan w:val="4"/>
          </w:tcPr>
          <w:p>
            <w:pPr>
              <w:jc w:val="right"/>
              <w:ind w:right="2420"/>
              <w:spacing w:after="0" w:line="137" w:lineRule="exact"/>
              <w:rPr>
                <w:sz w:val="20"/>
                <w:szCs w:val="20"/>
                <w:color w:val="auto"/>
              </w:rPr>
            </w:pPr>
            <w:r>
              <w:rPr>
                <w:rFonts w:ascii="Arial" w:cs="Arial" w:eastAsia="Arial" w:hAnsi="Arial"/>
                <w:sz w:val="12"/>
                <w:szCs w:val="12"/>
                <w:b w:val="1"/>
                <w:bCs w:val="1"/>
                <w:color w:val="auto"/>
                <w:w w:val="93"/>
              </w:rPr>
              <w:t>Months</w:t>
            </w:r>
          </w:p>
        </w:tc>
        <w:tc>
          <w:tcPr>
            <w:tcW w:w="0" w:type="dxa"/>
            <w:vAlign w:val="bottom"/>
          </w:tcPr>
          <w:p>
            <w:pPr>
              <w:spacing w:after="0"/>
              <w:rPr>
                <w:sz w:val="1"/>
                <w:szCs w:val="1"/>
                <w:color w:val="auto"/>
              </w:rPr>
            </w:pPr>
          </w:p>
        </w:tc>
      </w:tr>
      <w:tr>
        <w:trPr>
          <w:trHeight w:val="137"/>
        </w:trPr>
        <w:tc>
          <w:tcPr>
            <w:tcW w:w="49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40" w:type="dxa"/>
            <w:vAlign w:val="bottom"/>
            <w:gridSpan w:val="4"/>
          </w:tcPr>
          <w:p>
            <w:pPr>
              <w:jc w:val="right"/>
              <w:ind w:right="2420"/>
              <w:spacing w:after="0" w:line="137"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137"/>
        </w:trPr>
        <w:tc>
          <w:tcPr>
            <w:tcW w:w="49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40" w:type="dxa"/>
            <w:vAlign w:val="bottom"/>
            <w:gridSpan w:val="4"/>
          </w:tcPr>
          <w:p>
            <w:pPr>
              <w:jc w:val="right"/>
              <w:ind w:right="2420"/>
              <w:spacing w:after="0" w:line="137" w:lineRule="exact"/>
              <w:rPr>
                <w:sz w:val="20"/>
                <w:szCs w:val="20"/>
                <w:color w:val="auto"/>
              </w:rPr>
            </w:pPr>
            <w:r>
              <w:rPr>
                <w:rFonts w:ascii="Arial" w:cs="Arial" w:eastAsia="Arial" w:hAnsi="Arial"/>
                <w:sz w:val="12"/>
                <w:szCs w:val="12"/>
                <w:b w:val="1"/>
                <w:bCs w:val="1"/>
                <w:color w:val="auto"/>
                <w:w w:val="93"/>
              </w:rPr>
              <w:t>Sept 30</w:t>
            </w:r>
          </w:p>
        </w:tc>
        <w:tc>
          <w:tcPr>
            <w:tcW w:w="0" w:type="dxa"/>
            <w:vAlign w:val="bottom"/>
          </w:tcPr>
          <w:p>
            <w:pPr>
              <w:spacing w:after="0"/>
              <w:rPr>
                <w:sz w:val="1"/>
                <w:szCs w:val="1"/>
                <w:color w:val="auto"/>
              </w:rPr>
            </w:pPr>
          </w:p>
        </w:tc>
      </w:tr>
      <w:tr>
        <w:trPr>
          <w:trHeight w:val="151"/>
        </w:trPr>
        <w:tc>
          <w:tcPr>
            <w:tcW w:w="4980" w:type="dxa"/>
            <w:vAlign w:val="bottom"/>
            <w:vMerge w:val="restart"/>
          </w:tcPr>
          <w:p>
            <w:pPr>
              <w:spacing w:after="0"/>
              <w:rPr>
                <w:sz w:val="20"/>
                <w:szCs w:val="20"/>
                <w:color w:val="auto"/>
              </w:rPr>
            </w:pPr>
            <w:r>
              <w:rPr>
                <w:rFonts w:ascii="Arial" w:cs="Arial" w:eastAsia="Arial" w:hAnsi="Arial"/>
                <w:sz w:val="12"/>
                <w:szCs w:val="12"/>
                <w:color w:val="auto"/>
              </w:rPr>
              <w:t>Net income (loss) attributable to AECOM—per diluted share</w:t>
            </w:r>
          </w:p>
        </w:tc>
        <w:tc>
          <w:tcPr>
            <w:tcW w:w="2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4"/>
          </w:tcPr>
          <w:p>
            <w:pPr>
              <w:jc w:val="right"/>
              <w:spacing w:after="0"/>
              <w:rPr>
                <w:sz w:val="20"/>
                <w:szCs w:val="20"/>
                <w:color w:val="auto"/>
              </w:rPr>
            </w:pPr>
            <w:r>
              <w:rPr>
                <w:rFonts w:ascii="Arial" w:cs="Arial" w:eastAsia="Arial" w:hAnsi="Arial"/>
                <w:sz w:val="12"/>
                <w:szCs w:val="12"/>
                <w:b w:val="1"/>
                <w:bCs w:val="1"/>
                <w:color w:val="auto"/>
              </w:rPr>
              <w:t>2020</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4980" w:type="dxa"/>
            <w:vAlign w:val="bottom"/>
            <w:vMerge w:val="continue"/>
          </w:tcPr>
          <w:p>
            <w:pPr>
              <w:spacing w:after="0"/>
              <w:rPr>
                <w:sz w:val="9"/>
                <w:szCs w:val="9"/>
                <w:color w:val="auto"/>
              </w:rPr>
            </w:pPr>
          </w:p>
        </w:tc>
        <w:tc>
          <w:tcPr>
            <w:tcW w:w="2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top w:val="single" w:sz="8" w:color="auto"/>
            </w:tcBorders>
            <w:gridSpan w:val="2"/>
          </w:tcPr>
          <w:p>
            <w:pPr>
              <w:jc w:val="right"/>
              <w:ind w:right="20"/>
              <w:spacing w:after="0" w:line="114" w:lineRule="exact"/>
              <w:rPr>
                <w:sz w:val="20"/>
                <w:szCs w:val="20"/>
                <w:color w:val="auto"/>
              </w:rPr>
            </w:pPr>
            <w:r>
              <w:rPr>
                <w:rFonts w:ascii="Arial" w:cs="Arial" w:eastAsia="Arial" w:hAnsi="Arial"/>
                <w:sz w:val="12"/>
                <w:szCs w:val="12"/>
                <w:color w:val="auto"/>
              </w:rPr>
              <w:t>$1.06</w:t>
            </w:r>
          </w:p>
        </w:tc>
        <w:tc>
          <w:tcPr>
            <w:tcW w:w="20" w:type="dxa"/>
            <w:vAlign w:val="bottom"/>
            <w:tcBorders>
              <w:top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4980" w:type="dxa"/>
            <w:vAlign w:val="bottom"/>
          </w:tcPr>
          <w:p>
            <w:pPr>
              <w:spacing w:after="0" w:line="137" w:lineRule="exact"/>
              <w:rPr>
                <w:sz w:val="20"/>
                <w:szCs w:val="20"/>
                <w:color w:val="auto"/>
              </w:rPr>
            </w:pPr>
            <w:r>
              <w:rPr>
                <w:rFonts w:ascii="Arial" w:cs="Arial" w:eastAsia="Arial" w:hAnsi="Arial"/>
                <w:sz w:val="12"/>
                <w:szCs w:val="12"/>
                <w:color w:val="auto"/>
              </w:rPr>
              <w:t>Per diluted share adjustments:</w:t>
            </w: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80" w:type="dxa"/>
            <w:vAlign w:val="bottom"/>
          </w:tcPr>
          <w:p>
            <w:pPr>
              <w:ind w:left="220"/>
              <w:spacing w:after="0" w:line="137" w:lineRule="exact"/>
              <w:rPr>
                <w:sz w:val="20"/>
                <w:szCs w:val="20"/>
                <w:color w:val="auto"/>
              </w:rPr>
            </w:pPr>
            <w:r>
              <w:rPr>
                <w:rFonts w:ascii="Arial" w:cs="Arial" w:eastAsia="Arial" w:hAnsi="Arial"/>
                <w:sz w:val="12"/>
                <w:szCs w:val="12"/>
                <w:color w:val="auto"/>
              </w:rPr>
              <w:t>Non-core operating losses</w:t>
            </w: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0.03</w:t>
            </w:r>
          </w:p>
        </w:tc>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80" w:type="dxa"/>
            <w:vAlign w:val="bottom"/>
          </w:tcPr>
          <w:p>
            <w:pPr>
              <w:ind w:left="220"/>
              <w:spacing w:after="0" w:line="137" w:lineRule="exact"/>
              <w:rPr>
                <w:sz w:val="20"/>
                <w:szCs w:val="20"/>
                <w:color w:val="auto"/>
              </w:rPr>
            </w:pPr>
            <w:r>
              <w:rPr>
                <w:rFonts w:ascii="Arial" w:cs="Arial" w:eastAsia="Arial" w:hAnsi="Arial"/>
                <w:sz w:val="12"/>
                <w:szCs w:val="12"/>
                <w:color w:val="auto"/>
              </w:rPr>
              <w:t>Accelerated depreciation of project management tool</w:t>
            </w: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0.18</w:t>
            </w:r>
          </w:p>
        </w:tc>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80" w:type="dxa"/>
            <w:vAlign w:val="bottom"/>
          </w:tcPr>
          <w:p>
            <w:pPr>
              <w:ind w:left="220"/>
              <w:spacing w:after="0" w:line="137" w:lineRule="exact"/>
              <w:rPr>
                <w:sz w:val="20"/>
                <w:szCs w:val="20"/>
                <w:color w:val="auto"/>
              </w:rPr>
            </w:pPr>
            <w:r>
              <w:rPr>
                <w:rFonts w:ascii="Arial" w:cs="Arial" w:eastAsia="Arial" w:hAnsi="Arial"/>
                <w:sz w:val="12"/>
                <w:szCs w:val="12"/>
                <w:color w:val="auto"/>
              </w:rPr>
              <w:t>Restructuring Costs</w:t>
            </w: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1.17</w:t>
            </w:r>
          </w:p>
        </w:tc>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80" w:type="dxa"/>
            <w:vAlign w:val="bottom"/>
          </w:tcPr>
          <w:p>
            <w:pPr>
              <w:ind w:left="220"/>
              <w:spacing w:after="0" w:line="137" w:lineRule="exact"/>
              <w:rPr>
                <w:sz w:val="20"/>
                <w:szCs w:val="20"/>
                <w:color w:val="auto"/>
              </w:rPr>
            </w:pPr>
            <w:r>
              <w:rPr>
                <w:rFonts w:ascii="Arial" w:cs="Arial" w:eastAsia="Arial" w:hAnsi="Arial"/>
                <w:sz w:val="12"/>
                <w:szCs w:val="12"/>
                <w:color w:val="auto"/>
              </w:rPr>
              <w:t>Amortization of intangible assets</w:t>
            </w: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0.15</w:t>
            </w:r>
          </w:p>
        </w:tc>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80" w:type="dxa"/>
            <w:vAlign w:val="bottom"/>
          </w:tcPr>
          <w:p>
            <w:pPr>
              <w:ind w:left="220"/>
              <w:spacing w:after="0" w:line="137" w:lineRule="exact"/>
              <w:rPr>
                <w:sz w:val="20"/>
                <w:szCs w:val="20"/>
                <w:color w:val="auto"/>
              </w:rPr>
            </w:pPr>
            <w:r>
              <w:rPr>
                <w:rFonts w:ascii="Arial" w:cs="Arial" w:eastAsia="Arial" w:hAnsi="Arial"/>
                <w:sz w:val="12"/>
                <w:szCs w:val="12"/>
                <w:color w:val="auto"/>
              </w:rPr>
              <w:t>Financing charges in interest expense</w:t>
            </w: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0.14</w:t>
            </w:r>
          </w:p>
        </w:tc>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80" w:type="dxa"/>
            <w:vAlign w:val="bottom"/>
          </w:tcPr>
          <w:p>
            <w:pPr>
              <w:ind w:left="220"/>
              <w:spacing w:after="0" w:line="137" w:lineRule="exact"/>
              <w:rPr>
                <w:sz w:val="20"/>
                <w:szCs w:val="20"/>
                <w:color w:val="auto"/>
              </w:rPr>
            </w:pPr>
            <w:r>
              <w:rPr>
                <w:rFonts w:ascii="Arial" w:cs="Arial" w:eastAsia="Arial" w:hAnsi="Arial"/>
                <w:sz w:val="12"/>
                <w:szCs w:val="12"/>
                <w:color w:val="auto"/>
              </w:rPr>
              <w:t>Tax effect of the above adjustments</w:t>
            </w: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4"/>
          </w:tcPr>
          <w:p>
            <w:pPr>
              <w:jc w:val="right"/>
              <w:spacing w:after="0" w:line="137" w:lineRule="exact"/>
              <w:rPr>
                <w:sz w:val="20"/>
                <w:szCs w:val="20"/>
                <w:color w:val="auto"/>
              </w:rPr>
            </w:pPr>
            <w:r>
              <w:rPr>
                <w:rFonts w:ascii="Arial" w:cs="Arial" w:eastAsia="Arial" w:hAnsi="Arial"/>
                <w:sz w:val="12"/>
                <w:szCs w:val="12"/>
                <w:color w:val="auto"/>
              </w:rPr>
              <w:t>(0.43)</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220"/>
              <w:spacing w:after="0"/>
              <w:rPr>
                <w:sz w:val="20"/>
                <w:szCs w:val="20"/>
                <w:color w:val="auto"/>
              </w:rPr>
            </w:pPr>
            <w:r>
              <w:rPr>
                <w:rFonts w:ascii="Arial" w:cs="Arial" w:eastAsia="Arial" w:hAnsi="Arial"/>
                <w:sz w:val="12"/>
                <w:szCs w:val="12"/>
                <w:color w:val="auto"/>
              </w:rPr>
              <w:t>Valuation allowances and other tax items</w:t>
            </w:r>
          </w:p>
        </w:tc>
        <w:tc>
          <w:tcPr>
            <w:tcW w:w="2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4"/>
          </w:tcPr>
          <w:p>
            <w:pPr>
              <w:jc w:val="right"/>
              <w:spacing w:after="0"/>
              <w:rPr>
                <w:sz w:val="20"/>
                <w:szCs w:val="20"/>
                <w:color w:val="auto"/>
              </w:rPr>
            </w:pPr>
            <w:r>
              <w:rPr>
                <w:rFonts w:ascii="Arial" w:cs="Arial" w:eastAsia="Arial" w:hAnsi="Arial"/>
                <w:sz w:val="12"/>
                <w:szCs w:val="12"/>
                <w:color w:val="auto"/>
              </w:rPr>
              <w:t>(0.15)</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line="126" w:lineRule="exact"/>
              <w:rPr>
                <w:sz w:val="20"/>
                <w:szCs w:val="20"/>
                <w:color w:val="auto"/>
              </w:rPr>
            </w:pPr>
            <w:r>
              <w:rPr>
                <w:rFonts w:ascii="Arial" w:cs="Arial" w:eastAsia="Arial" w:hAnsi="Arial"/>
                <w:sz w:val="12"/>
                <w:szCs w:val="12"/>
                <w:color w:val="auto"/>
              </w:rPr>
              <w:t>Adjusted net income attributable to AECOM—per diluted share</w:t>
            </w: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bottom w:val="single" w:sz="8" w:color="auto"/>
            </w:tcBorders>
            <w:gridSpan w:val="2"/>
          </w:tcPr>
          <w:p>
            <w:pPr>
              <w:jc w:val="right"/>
              <w:ind w:right="20"/>
              <w:spacing w:after="0" w:line="126" w:lineRule="exact"/>
              <w:rPr>
                <w:sz w:val="20"/>
                <w:szCs w:val="20"/>
                <w:color w:val="auto"/>
              </w:rPr>
            </w:pPr>
            <w:r>
              <w:rPr>
                <w:rFonts w:ascii="Arial" w:cs="Arial" w:eastAsia="Arial" w:hAnsi="Arial"/>
                <w:sz w:val="12"/>
                <w:szCs w:val="12"/>
                <w:color w:val="auto"/>
              </w:rPr>
              <w:t>$2.15</w:t>
            </w:r>
          </w:p>
        </w:tc>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4980" w:type="dxa"/>
            <w:vAlign w:val="bottom"/>
          </w:tcPr>
          <w:p>
            <w:pPr>
              <w:spacing w:after="0"/>
              <w:rPr>
                <w:sz w:val="20"/>
                <w:szCs w:val="20"/>
                <w:color w:val="auto"/>
              </w:rPr>
            </w:pPr>
            <w:r>
              <w:rPr>
                <w:rFonts w:ascii="Arial" w:cs="Arial" w:eastAsia="Arial" w:hAnsi="Arial"/>
                <w:sz w:val="12"/>
                <w:szCs w:val="12"/>
                <w:b w:val="1"/>
                <w:bCs w:val="1"/>
                <w:color w:val="00B2E5"/>
              </w:rPr>
              <w:t>Reconciliation of Net Cash Provided By Operating Activities to Free Cash Flow</w:t>
            </w:r>
          </w:p>
        </w:tc>
        <w:tc>
          <w:tcPr>
            <w:tcW w:w="2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9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Three</w:t>
            </w:r>
          </w:p>
        </w:tc>
        <w:tc>
          <w:tcPr>
            <w:tcW w:w="100" w:type="dxa"/>
            <w:vAlign w:val="bottom"/>
          </w:tcPr>
          <w:p>
            <w:pPr>
              <w:spacing w:after="0"/>
              <w:rPr>
                <w:sz w:val="21"/>
                <w:szCs w:val="21"/>
                <w:color w:val="auto"/>
              </w:rPr>
            </w:pPr>
          </w:p>
        </w:tc>
        <w:tc>
          <w:tcPr>
            <w:tcW w:w="2840" w:type="dxa"/>
            <w:vAlign w:val="bottom"/>
            <w:gridSpan w:val="4"/>
          </w:tcPr>
          <w:p>
            <w:pPr>
              <w:jc w:val="right"/>
              <w:ind w:right="2420"/>
              <w:spacing w:after="0"/>
              <w:rPr>
                <w:sz w:val="20"/>
                <w:szCs w:val="20"/>
                <w:color w:val="auto"/>
              </w:rPr>
            </w:pPr>
            <w:r>
              <w:rPr>
                <w:rFonts w:ascii="Arial" w:cs="Arial" w:eastAsia="Arial" w:hAnsi="Arial"/>
                <w:sz w:val="12"/>
                <w:szCs w:val="12"/>
                <w:b w:val="1"/>
                <w:bCs w:val="1"/>
                <w:color w:val="auto"/>
                <w:w w:val="99"/>
              </w:rPr>
              <w:t>Twelve</w:t>
            </w:r>
          </w:p>
        </w:tc>
        <w:tc>
          <w:tcPr>
            <w:tcW w:w="0" w:type="dxa"/>
            <w:vAlign w:val="bottom"/>
          </w:tcPr>
          <w:p>
            <w:pPr>
              <w:spacing w:after="0"/>
              <w:rPr>
                <w:sz w:val="1"/>
                <w:szCs w:val="1"/>
                <w:color w:val="auto"/>
              </w:rPr>
            </w:pPr>
          </w:p>
        </w:tc>
      </w:tr>
      <w:tr>
        <w:trPr>
          <w:trHeight w:val="137"/>
        </w:trPr>
        <w:tc>
          <w:tcPr>
            <w:tcW w:w="49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480" w:type="dxa"/>
            <w:vAlign w:val="bottom"/>
            <w:gridSpan w:val="3"/>
          </w:tcPr>
          <w:p>
            <w:pPr>
              <w:jc w:val="right"/>
              <w:ind w:right="40"/>
              <w:spacing w:after="0" w:line="137" w:lineRule="exact"/>
              <w:rPr>
                <w:sz w:val="20"/>
                <w:szCs w:val="20"/>
                <w:color w:val="auto"/>
              </w:rPr>
            </w:pPr>
            <w:r>
              <w:rPr>
                <w:rFonts w:ascii="Arial" w:cs="Arial" w:eastAsia="Arial" w:hAnsi="Arial"/>
                <w:sz w:val="12"/>
                <w:szCs w:val="12"/>
                <w:b w:val="1"/>
                <w:bCs w:val="1"/>
                <w:color w:val="auto"/>
                <w:w w:val="98"/>
              </w:rPr>
              <w:t>Months</w:t>
            </w:r>
          </w:p>
        </w:tc>
        <w:tc>
          <w:tcPr>
            <w:tcW w:w="100" w:type="dxa"/>
            <w:vAlign w:val="bottom"/>
          </w:tcPr>
          <w:p>
            <w:pPr>
              <w:spacing w:after="0"/>
              <w:rPr>
                <w:sz w:val="11"/>
                <w:szCs w:val="11"/>
                <w:color w:val="auto"/>
              </w:rPr>
            </w:pPr>
          </w:p>
        </w:tc>
        <w:tc>
          <w:tcPr>
            <w:tcW w:w="2840" w:type="dxa"/>
            <w:vAlign w:val="bottom"/>
            <w:gridSpan w:val="4"/>
          </w:tcPr>
          <w:p>
            <w:pPr>
              <w:jc w:val="right"/>
              <w:ind w:right="2420"/>
              <w:spacing w:after="0" w:line="137" w:lineRule="exact"/>
              <w:rPr>
                <w:sz w:val="20"/>
                <w:szCs w:val="20"/>
                <w:color w:val="auto"/>
              </w:rPr>
            </w:pPr>
            <w:r>
              <w:rPr>
                <w:rFonts w:ascii="Arial" w:cs="Arial" w:eastAsia="Arial" w:hAnsi="Arial"/>
                <w:sz w:val="12"/>
                <w:szCs w:val="12"/>
                <w:b w:val="1"/>
                <w:bCs w:val="1"/>
                <w:color w:val="auto"/>
                <w:w w:val="93"/>
              </w:rPr>
              <w:t>Months</w:t>
            </w:r>
          </w:p>
        </w:tc>
        <w:tc>
          <w:tcPr>
            <w:tcW w:w="0" w:type="dxa"/>
            <w:vAlign w:val="bottom"/>
          </w:tcPr>
          <w:p>
            <w:pPr>
              <w:spacing w:after="0"/>
              <w:rPr>
                <w:sz w:val="1"/>
                <w:szCs w:val="1"/>
                <w:color w:val="auto"/>
              </w:rPr>
            </w:pPr>
          </w:p>
        </w:tc>
      </w:tr>
      <w:tr>
        <w:trPr>
          <w:trHeight w:val="137"/>
        </w:trPr>
        <w:tc>
          <w:tcPr>
            <w:tcW w:w="49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480" w:type="dxa"/>
            <w:vAlign w:val="bottom"/>
            <w:gridSpan w:val="3"/>
          </w:tcPr>
          <w:p>
            <w:pPr>
              <w:jc w:val="right"/>
              <w:ind w:right="40"/>
              <w:spacing w:after="0" w:line="137" w:lineRule="exact"/>
              <w:rPr>
                <w:sz w:val="20"/>
                <w:szCs w:val="20"/>
                <w:color w:val="auto"/>
              </w:rPr>
            </w:pPr>
            <w:r>
              <w:rPr>
                <w:rFonts w:ascii="Arial" w:cs="Arial" w:eastAsia="Arial" w:hAnsi="Arial"/>
                <w:sz w:val="12"/>
                <w:szCs w:val="12"/>
                <w:b w:val="1"/>
                <w:bCs w:val="1"/>
                <w:color w:val="auto"/>
              </w:rPr>
              <w:t>Ended</w:t>
            </w:r>
          </w:p>
        </w:tc>
        <w:tc>
          <w:tcPr>
            <w:tcW w:w="100" w:type="dxa"/>
            <w:vAlign w:val="bottom"/>
          </w:tcPr>
          <w:p>
            <w:pPr>
              <w:spacing w:after="0"/>
              <w:rPr>
                <w:sz w:val="11"/>
                <w:szCs w:val="11"/>
                <w:color w:val="auto"/>
              </w:rPr>
            </w:pPr>
          </w:p>
        </w:tc>
        <w:tc>
          <w:tcPr>
            <w:tcW w:w="2840" w:type="dxa"/>
            <w:vAlign w:val="bottom"/>
            <w:gridSpan w:val="4"/>
          </w:tcPr>
          <w:p>
            <w:pPr>
              <w:jc w:val="right"/>
              <w:ind w:right="2420"/>
              <w:spacing w:after="0" w:line="137"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137"/>
        </w:trPr>
        <w:tc>
          <w:tcPr>
            <w:tcW w:w="49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480" w:type="dxa"/>
            <w:vAlign w:val="bottom"/>
            <w:gridSpan w:val="3"/>
          </w:tcPr>
          <w:p>
            <w:pPr>
              <w:jc w:val="right"/>
              <w:ind w:right="40"/>
              <w:spacing w:after="0" w:line="137" w:lineRule="exact"/>
              <w:rPr>
                <w:sz w:val="20"/>
                <w:szCs w:val="20"/>
                <w:color w:val="auto"/>
              </w:rPr>
            </w:pPr>
            <w:r>
              <w:rPr>
                <w:rFonts w:ascii="Arial" w:cs="Arial" w:eastAsia="Arial" w:hAnsi="Arial"/>
                <w:sz w:val="12"/>
                <w:szCs w:val="12"/>
                <w:b w:val="1"/>
                <w:bCs w:val="1"/>
                <w:color w:val="auto"/>
                <w:w w:val="98"/>
              </w:rPr>
              <w:t>Sept 30</w:t>
            </w:r>
          </w:p>
        </w:tc>
        <w:tc>
          <w:tcPr>
            <w:tcW w:w="100" w:type="dxa"/>
            <w:vAlign w:val="bottom"/>
          </w:tcPr>
          <w:p>
            <w:pPr>
              <w:spacing w:after="0"/>
              <w:rPr>
                <w:sz w:val="11"/>
                <w:szCs w:val="11"/>
                <w:color w:val="auto"/>
              </w:rPr>
            </w:pPr>
          </w:p>
        </w:tc>
        <w:tc>
          <w:tcPr>
            <w:tcW w:w="2840" w:type="dxa"/>
            <w:vAlign w:val="bottom"/>
            <w:gridSpan w:val="4"/>
          </w:tcPr>
          <w:p>
            <w:pPr>
              <w:jc w:val="right"/>
              <w:ind w:right="2420"/>
              <w:spacing w:after="0" w:line="137" w:lineRule="exact"/>
              <w:rPr>
                <w:sz w:val="20"/>
                <w:szCs w:val="20"/>
                <w:color w:val="auto"/>
              </w:rPr>
            </w:pPr>
            <w:r>
              <w:rPr>
                <w:rFonts w:ascii="Arial" w:cs="Arial" w:eastAsia="Arial" w:hAnsi="Arial"/>
                <w:sz w:val="12"/>
                <w:szCs w:val="12"/>
                <w:b w:val="1"/>
                <w:bCs w:val="1"/>
                <w:color w:val="auto"/>
                <w:w w:val="93"/>
              </w:rPr>
              <w:t>Sept 30</w:t>
            </w:r>
          </w:p>
        </w:tc>
        <w:tc>
          <w:tcPr>
            <w:tcW w:w="0" w:type="dxa"/>
            <w:vAlign w:val="bottom"/>
          </w:tcPr>
          <w:p>
            <w:pPr>
              <w:spacing w:after="0"/>
              <w:rPr>
                <w:sz w:val="1"/>
                <w:szCs w:val="1"/>
                <w:color w:val="auto"/>
              </w:rPr>
            </w:pPr>
          </w:p>
        </w:tc>
      </w:tr>
      <w:tr>
        <w:trPr>
          <w:trHeight w:val="151"/>
        </w:trPr>
        <w:tc>
          <w:tcPr>
            <w:tcW w:w="4980" w:type="dxa"/>
            <w:vAlign w:val="bottom"/>
            <w:vMerge w:val="restart"/>
          </w:tcPr>
          <w:p>
            <w:pPr>
              <w:spacing w:after="0"/>
              <w:rPr>
                <w:sz w:val="20"/>
                <w:szCs w:val="20"/>
                <w:color w:val="auto"/>
              </w:rPr>
            </w:pPr>
            <w:r>
              <w:rPr>
                <w:rFonts w:ascii="Arial" w:cs="Arial" w:eastAsia="Arial" w:hAnsi="Arial"/>
                <w:sz w:val="12"/>
                <w:szCs w:val="12"/>
                <w:color w:val="auto"/>
              </w:rPr>
              <w:t>Net cash provided by operating activities</w:t>
            </w:r>
          </w:p>
        </w:tc>
        <w:tc>
          <w:tcPr>
            <w:tcW w:w="338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520" w:type="dxa"/>
            <w:vAlign w:val="bottom"/>
            <w:gridSpan w:val="4"/>
          </w:tcPr>
          <w:p>
            <w:pPr>
              <w:jc w:val="right"/>
              <w:spacing w:after="0"/>
              <w:rPr>
                <w:sz w:val="20"/>
                <w:szCs w:val="20"/>
                <w:color w:val="auto"/>
              </w:rPr>
            </w:pPr>
            <w:r>
              <w:rPr>
                <w:rFonts w:ascii="Arial" w:cs="Arial" w:eastAsia="Arial" w:hAnsi="Arial"/>
                <w:sz w:val="12"/>
                <w:szCs w:val="12"/>
                <w:b w:val="1"/>
                <w:bCs w:val="1"/>
                <w:color w:val="auto"/>
              </w:rPr>
              <w:t>2020</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4980" w:type="dxa"/>
            <w:vAlign w:val="bottom"/>
            <w:vMerge w:val="continue"/>
          </w:tcPr>
          <w:p>
            <w:pPr>
              <w:spacing w:after="0"/>
              <w:rPr>
                <w:sz w:val="9"/>
                <w:szCs w:val="9"/>
                <w:color w:val="auto"/>
              </w:rPr>
            </w:pPr>
          </w:p>
        </w:tc>
        <w:tc>
          <w:tcPr>
            <w:tcW w:w="2900" w:type="dxa"/>
            <w:vAlign w:val="bottom"/>
          </w:tcPr>
          <w:p>
            <w:pPr>
              <w:spacing w:after="0"/>
              <w:rPr>
                <w:sz w:val="9"/>
                <w:szCs w:val="9"/>
                <w:color w:val="auto"/>
              </w:rPr>
            </w:pPr>
          </w:p>
        </w:tc>
        <w:tc>
          <w:tcPr>
            <w:tcW w:w="3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color w:val="auto"/>
                <w:w w:val="97"/>
              </w:rPr>
              <w:t>$649.3</w:t>
            </w:r>
          </w:p>
        </w:tc>
        <w:tc>
          <w:tcPr>
            <w:tcW w:w="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top w:val="single" w:sz="8" w:color="auto"/>
            </w:tcBorders>
            <w:gridSpan w:val="2"/>
          </w:tcPr>
          <w:p>
            <w:pPr>
              <w:jc w:val="right"/>
              <w:ind w:right="20"/>
              <w:spacing w:after="0" w:line="114" w:lineRule="exact"/>
              <w:rPr>
                <w:sz w:val="20"/>
                <w:szCs w:val="20"/>
                <w:color w:val="auto"/>
              </w:rPr>
            </w:pPr>
            <w:r>
              <w:rPr>
                <w:rFonts w:ascii="Arial" w:cs="Arial" w:eastAsia="Arial" w:hAnsi="Arial"/>
                <w:sz w:val="12"/>
                <w:szCs w:val="12"/>
                <w:color w:val="auto"/>
                <w:w w:val="97"/>
              </w:rPr>
              <w:t>$329.6</w:t>
            </w:r>
          </w:p>
        </w:tc>
        <w:tc>
          <w:tcPr>
            <w:tcW w:w="20" w:type="dxa"/>
            <w:vAlign w:val="bottom"/>
            <w:tcBorders>
              <w:top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4980" w:type="dxa"/>
            <w:vAlign w:val="bottom"/>
          </w:tcPr>
          <w:p>
            <w:pPr>
              <w:ind w:left="100"/>
              <w:spacing w:after="0" w:line="137" w:lineRule="exact"/>
              <w:rPr>
                <w:sz w:val="20"/>
                <w:szCs w:val="20"/>
                <w:color w:val="auto"/>
              </w:rPr>
            </w:pPr>
            <w:r>
              <w:rPr>
                <w:rFonts w:ascii="Arial" w:cs="Arial" w:eastAsia="Arial" w:hAnsi="Arial"/>
                <w:sz w:val="12"/>
                <w:szCs w:val="12"/>
                <w:color w:val="auto"/>
              </w:rPr>
              <w:t>Capital expenditures, net</w:t>
            </w:r>
          </w:p>
        </w:tc>
        <w:tc>
          <w:tcPr>
            <w:tcW w:w="334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rPr>
              <w:t>(30.0)</w:t>
            </w:r>
          </w:p>
        </w:tc>
        <w:tc>
          <w:tcPr>
            <w:tcW w:w="40" w:type="dxa"/>
            <w:vAlign w:val="bottom"/>
          </w:tcPr>
          <w:p>
            <w:pPr>
              <w:spacing w:after="0"/>
              <w:rPr>
                <w:sz w:val="11"/>
                <w:szCs w:val="11"/>
                <w:color w:val="auto"/>
              </w:rPr>
            </w:pPr>
          </w:p>
        </w:tc>
        <w:tc>
          <w:tcPr>
            <w:tcW w:w="520" w:type="dxa"/>
            <w:vAlign w:val="bottom"/>
            <w:gridSpan w:val="4"/>
          </w:tcPr>
          <w:p>
            <w:pPr>
              <w:jc w:val="right"/>
              <w:spacing w:after="0" w:line="137" w:lineRule="exact"/>
              <w:rPr>
                <w:sz w:val="20"/>
                <w:szCs w:val="20"/>
                <w:color w:val="auto"/>
              </w:rPr>
            </w:pPr>
            <w:r>
              <w:rPr>
                <w:rFonts w:ascii="Arial" w:cs="Arial" w:eastAsia="Arial" w:hAnsi="Arial"/>
                <w:sz w:val="12"/>
                <w:szCs w:val="12"/>
                <w:color w:val="auto"/>
              </w:rPr>
              <w:t>(110.8)</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00"/>
              <w:spacing w:after="0"/>
              <w:rPr>
                <w:sz w:val="20"/>
                <w:szCs w:val="20"/>
                <w:color w:val="auto"/>
              </w:rPr>
            </w:pPr>
            <w:r>
              <w:rPr>
                <w:rFonts w:ascii="Arial" w:cs="Arial" w:eastAsia="Arial" w:hAnsi="Arial"/>
                <w:sz w:val="12"/>
                <w:szCs w:val="12"/>
                <w:color w:val="auto"/>
              </w:rPr>
              <w:t>Working capital adjustment from sale of Management Services business</w:t>
            </w:r>
          </w:p>
        </w:tc>
        <w:tc>
          <w:tcPr>
            <w:tcW w:w="2900" w:type="dxa"/>
            <w:vAlign w:val="bottom"/>
          </w:tcPr>
          <w:p>
            <w:pPr>
              <w:spacing w:after="0"/>
              <w:rPr>
                <w:sz w:val="12"/>
                <w:szCs w:val="12"/>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122.0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line="126" w:lineRule="exact"/>
              <w:rPr>
                <w:sz w:val="20"/>
                <w:szCs w:val="20"/>
                <w:color w:val="auto"/>
              </w:rPr>
            </w:pPr>
            <w:r>
              <w:rPr>
                <w:rFonts w:ascii="Arial" w:cs="Arial" w:eastAsia="Arial" w:hAnsi="Arial"/>
                <w:sz w:val="12"/>
                <w:szCs w:val="12"/>
                <w:color w:val="auto"/>
              </w:rPr>
              <w:t>Free cash flow</w:t>
            </w:r>
          </w:p>
        </w:tc>
        <w:tc>
          <w:tcPr>
            <w:tcW w:w="290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u w:val="single" w:color="auto"/>
                <w:color w:val="auto"/>
                <w:w w:val="97"/>
              </w:rPr>
              <w:t>$</w:t>
            </w:r>
            <w:r>
              <w:rPr>
                <w:rFonts w:ascii="Arial" w:cs="Arial" w:eastAsia="Arial" w:hAnsi="Arial"/>
                <w:sz w:val="12"/>
                <w:szCs w:val="12"/>
                <w:color w:val="auto"/>
                <w:w w:val="97"/>
              </w:rPr>
              <w:t>619.3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u w:val="single" w:color="auto"/>
                <w:color w:val="auto"/>
                <w:w w:val="97"/>
              </w:rPr>
              <w:t>$</w:t>
            </w:r>
            <w:r>
              <w:rPr>
                <w:rFonts w:ascii="Arial" w:cs="Arial" w:eastAsia="Arial" w:hAnsi="Arial"/>
                <w:sz w:val="12"/>
                <w:szCs w:val="12"/>
                <w:color w:val="auto"/>
                <w:w w:val="97"/>
              </w:rPr>
              <w:t>340.8</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4980" w:type="dxa"/>
            <w:vAlign w:val="bottom"/>
          </w:tcPr>
          <w:p>
            <w:pPr>
              <w:spacing w:after="0"/>
              <w:rPr>
                <w:sz w:val="20"/>
                <w:szCs w:val="20"/>
                <w:color w:val="auto"/>
              </w:rPr>
            </w:pPr>
            <w:r>
              <w:rPr>
                <w:rFonts w:ascii="Arial" w:cs="Arial" w:eastAsia="Arial" w:hAnsi="Arial"/>
                <w:sz w:val="12"/>
                <w:szCs w:val="12"/>
                <w:b w:val="1"/>
                <w:bCs w:val="1"/>
                <w:color w:val="00B2E5"/>
              </w:rPr>
              <w:t>Reconciliation of Adjusted Margin Calculation for Annual Incentives</w:t>
            </w:r>
          </w:p>
        </w:tc>
        <w:tc>
          <w:tcPr>
            <w:tcW w:w="2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9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4"/>
          </w:tcPr>
          <w:p>
            <w:pPr>
              <w:jc w:val="right"/>
              <w:ind w:right="2420"/>
              <w:spacing w:after="0"/>
              <w:rPr>
                <w:sz w:val="20"/>
                <w:szCs w:val="20"/>
                <w:color w:val="auto"/>
              </w:rPr>
            </w:pPr>
            <w:r>
              <w:rPr>
                <w:rFonts w:ascii="Arial" w:cs="Arial" w:eastAsia="Arial" w:hAnsi="Arial"/>
                <w:sz w:val="12"/>
                <w:szCs w:val="12"/>
                <w:b w:val="1"/>
                <w:bCs w:val="1"/>
                <w:color w:val="auto"/>
              </w:rPr>
              <w:t>Three</w:t>
            </w:r>
          </w:p>
        </w:tc>
        <w:tc>
          <w:tcPr>
            <w:tcW w:w="0" w:type="dxa"/>
            <w:vAlign w:val="bottom"/>
          </w:tcPr>
          <w:p>
            <w:pPr>
              <w:spacing w:after="0"/>
              <w:rPr>
                <w:sz w:val="1"/>
                <w:szCs w:val="1"/>
                <w:color w:val="auto"/>
              </w:rPr>
            </w:pPr>
          </w:p>
        </w:tc>
      </w:tr>
      <w:tr>
        <w:trPr>
          <w:trHeight w:val="137"/>
        </w:trPr>
        <w:tc>
          <w:tcPr>
            <w:tcW w:w="49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40" w:type="dxa"/>
            <w:vAlign w:val="bottom"/>
            <w:gridSpan w:val="4"/>
          </w:tcPr>
          <w:p>
            <w:pPr>
              <w:jc w:val="right"/>
              <w:ind w:right="2420"/>
              <w:spacing w:after="0" w:line="137" w:lineRule="exact"/>
              <w:rPr>
                <w:sz w:val="20"/>
                <w:szCs w:val="20"/>
                <w:color w:val="auto"/>
              </w:rPr>
            </w:pPr>
            <w:r>
              <w:rPr>
                <w:rFonts w:ascii="Arial" w:cs="Arial" w:eastAsia="Arial" w:hAnsi="Arial"/>
                <w:sz w:val="12"/>
                <w:szCs w:val="12"/>
                <w:b w:val="1"/>
                <w:bCs w:val="1"/>
                <w:color w:val="auto"/>
                <w:w w:val="93"/>
              </w:rPr>
              <w:t>Months</w:t>
            </w:r>
          </w:p>
        </w:tc>
        <w:tc>
          <w:tcPr>
            <w:tcW w:w="0" w:type="dxa"/>
            <w:vAlign w:val="bottom"/>
          </w:tcPr>
          <w:p>
            <w:pPr>
              <w:spacing w:after="0"/>
              <w:rPr>
                <w:sz w:val="1"/>
                <w:szCs w:val="1"/>
                <w:color w:val="auto"/>
              </w:rPr>
            </w:pPr>
          </w:p>
        </w:tc>
      </w:tr>
      <w:tr>
        <w:trPr>
          <w:trHeight w:val="137"/>
        </w:trPr>
        <w:tc>
          <w:tcPr>
            <w:tcW w:w="49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40" w:type="dxa"/>
            <w:vAlign w:val="bottom"/>
            <w:gridSpan w:val="4"/>
          </w:tcPr>
          <w:p>
            <w:pPr>
              <w:jc w:val="right"/>
              <w:ind w:right="2420"/>
              <w:spacing w:after="0" w:line="137"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137"/>
        </w:trPr>
        <w:tc>
          <w:tcPr>
            <w:tcW w:w="49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40" w:type="dxa"/>
            <w:vAlign w:val="bottom"/>
            <w:gridSpan w:val="4"/>
          </w:tcPr>
          <w:p>
            <w:pPr>
              <w:jc w:val="right"/>
              <w:ind w:right="2420"/>
              <w:spacing w:after="0" w:line="137" w:lineRule="exact"/>
              <w:rPr>
                <w:sz w:val="20"/>
                <w:szCs w:val="20"/>
                <w:color w:val="auto"/>
              </w:rPr>
            </w:pPr>
            <w:r>
              <w:rPr>
                <w:rFonts w:ascii="Arial" w:cs="Arial" w:eastAsia="Arial" w:hAnsi="Arial"/>
                <w:sz w:val="12"/>
                <w:szCs w:val="12"/>
                <w:b w:val="1"/>
                <w:bCs w:val="1"/>
                <w:color w:val="auto"/>
                <w:w w:val="93"/>
              </w:rPr>
              <w:t>Sept 30</w:t>
            </w:r>
          </w:p>
        </w:tc>
        <w:tc>
          <w:tcPr>
            <w:tcW w:w="0" w:type="dxa"/>
            <w:vAlign w:val="bottom"/>
          </w:tcPr>
          <w:p>
            <w:pPr>
              <w:spacing w:after="0"/>
              <w:rPr>
                <w:sz w:val="1"/>
                <w:szCs w:val="1"/>
                <w:color w:val="auto"/>
              </w:rPr>
            </w:pPr>
          </w:p>
        </w:tc>
      </w:tr>
      <w:tr>
        <w:trPr>
          <w:trHeight w:val="151"/>
        </w:trPr>
        <w:tc>
          <w:tcPr>
            <w:tcW w:w="4980" w:type="dxa"/>
            <w:vAlign w:val="bottom"/>
            <w:vMerge w:val="restart"/>
          </w:tcPr>
          <w:p>
            <w:pPr>
              <w:spacing w:after="0"/>
              <w:rPr>
                <w:sz w:val="20"/>
                <w:szCs w:val="20"/>
                <w:color w:val="auto"/>
              </w:rPr>
            </w:pPr>
            <w:r>
              <w:rPr>
                <w:rFonts w:ascii="Arial" w:cs="Arial" w:eastAsia="Arial" w:hAnsi="Arial"/>
                <w:sz w:val="12"/>
                <w:szCs w:val="12"/>
                <w:color w:val="auto"/>
              </w:rPr>
              <w:t>Revenue Americas Segment</w:t>
            </w:r>
          </w:p>
        </w:tc>
        <w:tc>
          <w:tcPr>
            <w:tcW w:w="2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2020</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4980" w:type="dxa"/>
            <w:vAlign w:val="bottom"/>
            <w:vMerge w:val="continue"/>
          </w:tcPr>
          <w:p>
            <w:pPr>
              <w:spacing w:after="0"/>
              <w:rPr>
                <w:sz w:val="9"/>
                <w:szCs w:val="9"/>
                <w:color w:val="auto"/>
              </w:rPr>
            </w:pPr>
          </w:p>
        </w:tc>
        <w:tc>
          <w:tcPr>
            <w:tcW w:w="2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4"/>
          </w:tcPr>
          <w:p>
            <w:pPr>
              <w:jc w:val="right"/>
              <w:spacing w:after="0" w:line="114" w:lineRule="exact"/>
              <w:rPr>
                <w:sz w:val="20"/>
                <w:szCs w:val="20"/>
                <w:color w:val="auto"/>
              </w:rPr>
            </w:pPr>
            <w:r>
              <w:rPr>
                <w:rFonts w:ascii="Arial" w:cs="Arial" w:eastAsia="Arial" w:hAnsi="Arial"/>
                <w:sz w:val="12"/>
                <w:szCs w:val="12"/>
                <w:color w:val="auto"/>
                <w:w w:val="93"/>
              </w:rPr>
              <w:t>$10,131.5</w:t>
            </w: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4980" w:type="dxa"/>
            <w:vAlign w:val="bottom"/>
          </w:tcPr>
          <w:p>
            <w:pPr>
              <w:spacing w:after="0" w:line="137" w:lineRule="exact"/>
              <w:rPr>
                <w:sz w:val="20"/>
                <w:szCs w:val="20"/>
                <w:color w:val="auto"/>
              </w:rPr>
            </w:pPr>
            <w:r>
              <w:rPr>
                <w:rFonts w:ascii="Arial" w:cs="Arial" w:eastAsia="Arial" w:hAnsi="Arial"/>
                <w:sz w:val="12"/>
                <w:szCs w:val="12"/>
                <w:color w:val="auto"/>
              </w:rPr>
              <w:t>Revenue International Segment</w:t>
            </w: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4"/>
          </w:tcPr>
          <w:p>
            <w:pPr>
              <w:jc w:val="right"/>
              <w:spacing w:after="0" w:line="137" w:lineRule="exact"/>
              <w:rPr>
                <w:sz w:val="20"/>
                <w:szCs w:val="20"/>
                <w:color w:val="auto"/>
              </w:rPr>
            </w:pPr>
            <w:r>
              <w:rPr>
                <w:rFonts w:ascii="Arial" w:cs="Arial" w:eastAsia="Arial" w:hAnsi="Arial"/>
                <w:sz w:val="12"/>
                <w:szCs w:val="12"/>
                <w:color w:val="auto"/>
              </w:rPr>
              <w:t>3,101.7</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80" w:type="dxa"/>
            <w:vAlign w:val="bottom"/>
          </w:tcPr>
          <w:p>
            <w:pPr>
              <w:ind w:left="100"/>
              <w:spacing w:after="0" w:line="137" w:lineRule="exact"/>
              <w:rPr>
                <w:sz w:val="20"/>
                <w:szCs w:val="20"/>
                <w:color w:val="auto"/>
              </w:rPr>
            </w:pPr>
            <w:r>
              <w:rPr>
                <w:rFonts w:ascii="Arial" w:cs="Arial" w:eastAsia="Arial" w:hAnsi="Arial"/>
                <w:sz w:val="12"/>
                <w:szCs w:val="12"/>
                <w:color w:val="auto"/>
              </w:rPr>
              <w:t>Less: subcontractor and other direct costs Americas Segment</w:t>
            </w: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4"/>
          </w:tcPr>
          <w:p>
            <w:pPr>
              <w:jc w:val="right"/>
              <w:spacing w:after="0" w:line="137" w:lineRule="exact"/>
              <w:rPr>
                <w:sz w:val="20"/>
                <w:szCs w:val="20"/>
                <w:color w:val="auto"/>
              </w:rPr>
            </w:pPr>
            <w:r>
              <w:rPr>
                <w:rFonts w:ascii="Arial" w:cs="Arial" w:eastAsia="Arial" w:hAnsi="Arial"/>
                <w:sz w:val="12"/>
                <w:szCs w:val="12"/>
                <w:color w:val="auto"/>
              </w:rPr>
              <w:t>6,440.6</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00"/>
              <w:spacing w:after="0"/>
              <w:rPr>
                <w:sz w:val="20"/>
                <w:szCs w:val="20"/>
                <w:color w:val="auto"/>
              </w:rPr>
            </w:pPr>
            <w:r>
              <w:rPr>
                <w:rFonts w:ascii="Arial" w:cs="Arial" w:eastAsia="Arial" w:hAnsi="Arial"/>
                <w:sz w:val="12"/>
                <w:szCs w:val="12"/>
                <w:color w:val="auto"/>
              </w:rPr>
              <w:t>Less: subcontractor and other direct costs International Segment</w:t>
            </w:r>
          </w:p>
        </w:tc>
        <w:tc>
          <w:tcPr>
            <w:tcW w:w="2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color w:val="auto"/>
              </w:rPr>
              <w:t>622.5</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980" w:type="dxa"/>
            <w:vAlign w:val="bottom"/>
          </w:tcPr>
          <w:p>
            <w:pPr>
              <w:spacing w:after="0" w:line="126" w:lineRule="exact"/>
              <w:rPr>
                <w:sz w:val="20"/>
                <w:szCs w:val="20"/>
                <w:color w:val="auto"/>
              </w:rPr>
            </w:pPr>
            <w:r>
              <w:rPr>
                <w:rFonts w:ascii="Arial" w:cs="Arial" w:eastAsia="Arial" w:hAnsi="Arial"/>
                <w:sz w:val="12"/>
                <w:szCs w:val="12"/>
                <w:color w:val="auto"/>
              </w:rPr>
              <w:t>NSR (Revenue, net of subcontractor and other direct costs)</w:t>
            </w:r>
          </w:p>
        </w:tc>
        <w:tc>
          <w:tcPr>
            <w:tcW w:w="2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Borders>
              <w:bottom w:val="single" w:sz="8" w:color="auto"/>
            </w:tcBorders>
            <w:gridSpan w:val="4"/>
          </w:tcPr>
          <w:p>
            <w:pPr>
              <w:jc w:val="right"/>
              <w:spacing w:after="0" w:line="126" w:lineRule="exact"/>
              <w:rPr>
                <w:sz w:val="20"/>
                <w:szCs w:val="20"/>
                <w:color w:val="auto"/>
              </w:rPr>
            </w:pPr>
            <w:r>
              <w:rPr>
                <w:rFonts w:ascii="Arial" w:cs="Arial" w:eastAsia="Arial" w:hAnsi="Arial"/>
                <w:sz w:val="12"/>
                <w:szCs w:val="12"/>
                <w:color w:val="auto"/>
              </w:rPr>
              <w:t>$6,170.1</w:t>
            </w: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980" w:type="dxa"/>
            <w:vAlign w:val="bottom"/>
          </w:tcPr>
          <w:p>
            <w:pPr>
              <w:spacing w:after="0" w:line="114" w:lineRule="exact"/>
              <w:rPr>
                <w:sz w:val="20"/>
                <w:szCs w:val="20"/>
                <w:color w:val="auto"/>
              </w:rPr>
            </w:pPr>
            <w:r>
              <w:rPr>
                <w:rFonts w:ascii="Arial" w:cs="Arial" w:eastAsia="Arial" w:hAnsi="Arial"/>
                <w:sz w:val="12"/>
                <w:szCs w:val="12"/>
                <w:color w:val="auto"/>
              </w:rPr>
              <w:t>Income from Operations Americas Segment</w:t>
            </w:r>
          </w:p>
        </w:tc>
        <w:tc>
          <w:tcPr>
            <w:tcW w:w="2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4"/>
          </w:tcPr>
          <w:p>
            <w:pPr>
              <w:jc w:val="right"/>
              <w:spacing w:after="0" w:line="114" w:lineRule="exact"/>
              <w:rPr>
                <w:sz w:val="20"/>
                <w:szCs w:val="20"/>
                <w:color w:val="auto"/>
              </w:rPr>
            </w:pPr>
            <w:r>
              <w:rPr>
                <w:rFonts w:ascii="Arial" w:cs="Arial" w:eastAsia="Arial" w:hAnsi="Arial"/>
                <w:sz w:val="12"/>
                <w:szCs w:val="12"/>
                <w:color w:val="auto"/>
              </w:rPr>
              <w:t>$600.3</w:t>
            </w: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4980" w:type="dxa"/>
            <w:vAlign w:val="bottom"/>
          </w:tcPr>
          <w:p>
            <w:pPr>
              <w:spacing w:after="0" w:line="137" w:lineRule="exact"/>
              <w:rPr>
                <w:sz w:val="20"/>
                <w:szCs w:val="20"/>
                <w:color w:val="auto"/>
              </w:rPr>
            </w:pPr>
            <w:r>
              <w:rPr>
                <w:rFonts w:ascii="Arial" w:cs="Arial" w:eastAsia="Arial" w:hAnsi="Arial"/>
                <w:sz w:val="12"/>
                <w:szCs w:val="12"/>
                <w:color w:val="auto"/>
              </w:rPr>
              <w:t>Income from Operations International Segment</w:t>
            </w: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4"/>
          </w:tcPr>
          <w:p>
            <w:pPr>
              <w:jc w:val="right"/>
              <w:spacing w:after="0" w:line="137" w:lineRule="exact"/>
              <w:rPr>
                <w:sz w:val="20"/>
                <w:szCs w:val="20"/>
                <w:color w:val="auto"/>
              </w:rPr>
            </w:pPr>
            <w:r>
              <w:rPr>
                <w:rFonts w:ascii="Arial" w:cs="Arial" w:eastAsia="Arial" w:hAnsi="Arial"/>
                <w:sz w:val="12"/>
                <w:szCs w:val="12"/>
                <w:color w:val="auto"/>
              </w:rPr>
              <w:t>136.5</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80" w:type="dxa"/>
            <w:vAlign w:val="bottom"/>
          </w:tcPr>
          <w:p>
            <w:pPr>
              <w:spacing w:after="0" w:line="137" w:lineRule="exact"/>
              <w:rPr>
                <w:sz w:val="20"/>
                <w:szCs w:val="20"/>
                <w:color w:val="auto"/>
              </w:rPr>
            </w:pPr>
            <w:r>
              <w:rPr>
                <w:rFonts w:ascii="Arial" w:cs="Arial" w:eastAsia="Arial" w:hAnsi="Arial"/>
                <w:sz w:val="12"/>
                <w:szCs w:val="12"/>
                <w:color w:val="auto"/>
              </w:rPr>
              <w:t>Noncore operating losses &amp; transaction related expenses</w:t>
            </w: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40" w:type="dxa"/>
            <w:vAlign w:val="bottom"/>
            <w:gridSpan w:val="5"/>
          </w:tcPr>
          <w:p>
            <w:pPr>
              <w:jc w:val="right"/>
              <w:ind w:right="2380"/>
              <w:spacing w:after="0" w:line="137" w:lineRule="exact"/>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20"/>
                <w:szCs w:val="20"/>
                <w:color w:val="auto"/>
              </w:rPr>
            </w:pPr>
            <w:r>
              <w:rPr>
                <w:rFonts w:ascii="Arial" w:cs="Arial" w:eastAsia="Arial" w:hAnsi="Arial"/>
                <w:sz w:val="12"/>
                <w:szCs w:val="12"/>
                <w:color w:val="auto"/>
              </w:rPr>
              <w:t>Amortization of intangible assets</w:t>
            </w:r>
          </w:p>
        </w:tc>
        <w:tc>
          <w:tcPr>
            <w:tcW w:w="2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color w:val="auto"/>
              </w:rPr>
              <w:t>24.0</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980" w:type="dxa"/>
            <w:vAlign w:val="bottom"/>
          </w:tcPr>
          <w:p>
            <w:pPr>
              <w:spacing w:after="0" w:line="126" w:lineRule="exact"/>
              <w:rPr>
                <w:sz w:val="20"/>
                <w:szCs w:val="20"/>
                <w:color w:val="auto"/>
              </w:rPr>
            </w:pPr>
            <w:r>
              <w:rPr>
                <w:rFonts w:ascii="Arial" w:cs="Arial" w:eastAsia="Arial" w:hAnsi="Arial"/>
                <w:sz w:val="12"/>
                <w:szCs w:val="12"/>
                <w:color w:val="auto"/>
              </w:rPr>
              <w:t>Adjusted income from operations</w:t>
            </w:r>
          </w:p>
        </w:tc>
        <w:tc>
          <w:tcPr>
            <w:tcW w:w="2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Borders>
              <w:bottom w:val="single" w:sz="8" w:color="auto"/>
            </w:tcBorders>
            <w:gridSpan w:val="4"/>
          </w:tcPr>
          <w:p>
            <w:pPr>
              <w:jc w:val="right"/>
              <w:spacing w:after="0" w:line="126" w:lineRule="exact"/>
              <w:rPr>
                <w:sz w:val="20"/>
                <w:szCs w:val="20"/>
                <w:color w:val="auto"/>
              </w:rPr>
            </w:pPr>
            <w:r>
              <w:rPr>
                <w:rFonts w:ascii="Arial" w:cs="Arial" w:eastAsia="Arial" w:hAnsi="Arial"/>
                <w:sz w:val="12"/>
                <w:szCs w:val="12"/>
                <w:color w:val="auto"/>
              </w:rPr>
              <w:t>$760.7</w:t>
            </w: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line="126" w:lineRule="exact"/>
              <w:rPr>
                <w:sz w:val="20"/>
                <w:szCs w:val="20"/>
                <w:color w:val="auto"/>
              </w:rPr>
            </w:pPr>
            <w:r>
              <w:rPr>
                <w:rFonts w:ascii="Arial" w:cs="Arial" w:eastAsia="Arial" w:hAnsi="Arial"/>
                <w:sz w:val="12"/>
                <w:szCs w:val="12"/>
                <w:color w:val="auto"/>
              </w:rPr>
              <w:t>NSR Operating Margin</w:t>
            </w:r>
          </w:p>
        </w:tc>
        <w:tc>
          <w:tcPr>
            <w:tcW w:w="2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40" w:type="dxa"/>
            <w:vAlign w:val="bottom"/>
            <w:gridSpan w:val="5"/>
          </w:tcPr>
          <w:p>
            <w:pPr>
              <w:jc w:val="right"/>
              <w:ind w:right="2300"/>
              <w:spacing w:after="0" w:line="126" w:lineRule="exact"/>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293"/>
        </w:trPr>
        <w:tc>
          <w:tcPr>
            <w:tcW w:w="4980" w:type="dxa"/>
            <w:vAlign w:val="bottom"/>
          </w:tcPr>
          <w:p>
            <w:pPr>
              <w:spacing w:after="0"/>
              <w:rPr>
                <w:sz w:val="24"/>
                <w:szCs w:val="24"/>
                <w:color w:val="auto"/>
              </w:rPr>
            </w:pPr>
          </w:p>
        </w:tc>
        <w:tc>
          <w:tcPr>
            <w:tcW w:w="3380" w:type="dxa"/>
            <w:vAlign w:val="bottom"/>
            <w:gridSpan w:val="4"/>
          </w:tcPr>
          <w:p>
            <w:pPr>
              <w:ind w:left="580"/>
              <w:spacing w:after="0"/>
              <w:rPr>
                <w:sz w:val="20"/>
                <w:szCs w:val="20"/>
                <w:color w:val="auto"/>
              </w:rPr>
            </w:pPr>
            <w:r>
              <w:rPr>
                <w:rFonts w:ascii="Arial" w:cs="Arial" w:eastAsia="Arial" w:hAnsi="Arial"/>
                <w:sz w:val="12"/>
                <w:szCs w:val="12"/>
                <w:color w:val="auto"/>
              </w:rPr>
              <w:t>A-2</w:t>
            </w: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980" w:type="dxa"/>
            <w:vAlign w:val="bottom"/>
            <w:tcBorders>
              <w:bottom w:val="single" w:sz="8" w:color="808080"/>
            </w:tcBorders>
          </w:tcPr>
          <w:p>
            <w:pPr>
              <w:spacing w:after="0"/>
              <w:rPr>
                <w:sz w:val="12"/>
                <w:szCs w:val="12"/>
                <w:color w:val="auto"/>
              </w:rPr>
            </w:pPr>
          </w:p>
        </w:tc>
        <w:tc>
          <w:tcPr>
            <w:tcW w:w="290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4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7163435</wp:posOffset>
            </wp:positionH>
            <wp:positionV relativeFrom="paragraph">
              <wp:posOffset>-11430</wp:posOffset>
            </wp:positionV>
            <wp:extent cx="1270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187325</wp:posOffset>
            </wp:positionV>
            <wp:extent cx="7218045" cy="9404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7218045" cy="940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1071245</wp:posOffset>
            </wp:positionH>
            <wp:positionV relativeFrom="page">
              <wp:posOffset>88900</wp:posOffset>
            </wp:positionV>
            <wp:extent cx="5411470" cy="69856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5411470" cy="6985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1071245</wp:posOffset>
            </wp:positionH>
            <wp:positionV relativeFrom="page">
              <wp:posOffset>94615</wp:posOffset>
            </wp:positionV>
            <wp:extent cx="5411470" cy="69856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5411470" cy="69856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
      <w:numFmt w:val="bullet"/>
      <w:start w:val="1"/>
    </w:lvl>
    <w:lvl w:ilvl="1">
      <w:lvlJc w:val="left"/>
      <w:lvlText w:val="(%2)"/>
      <w:numFmt w:val="decimal"/>
      <w:start w:val="1"/>
    </w:lvl>
  </w:abstractNum>
  <w:abstractNum w:abstractNumId="5">
    <w:nsid w:val="5E884ADC"/>
    <w:multiLevelType w:val="hybridMultilevel"/>
    <w:lvl w:ilvl="0">
      <w:lvlJc w:val="left"/>
      <w:lvlText w:val=" "/>
      <w:numFmt w:val="bullet"/>
      <w:start w:val="1"/>
    </w:lvl>
    <w:lvl w:ilvl="1">
      <w:lvlJc w:val="left"/>
      <w:lvlText w:val="(%2)"/>
      <w:numFmt w:val="decimal"/>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1)"/>
      <w:numFmt w:val="decimal"/>
      <w:start w:val="3"/>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1."/>
      <w:numFmt w:val="decimal"/>
      <w:start w:val="1"/>
    </w:lvl>
  </w:abstractNum>
  <w:abstractNum w:abstractNumId="23">
    <w:nsid w:val="7644A45C"/>
    <w:multiLevelType w:val="hybridMultilevel"/>
    <w:lvl w:ilvl="0">
      <w:lvlJc w:val="left"/>
      <w:lvlText w:val="1"/>
      <w:numFmt w:val="bullet"/>
      <w:start w:val="1"/>
    </w:lvl>
  </w:abstractNum>
  <w:abstractNum w:abstractNumId="24">
    <w:nsid w:val="32FFF902"/>
    <w:multiLevelType w:val="hybridMultilevel"/>
    <w:lvl w:ilvl="0">
      <w:lvlJc w:val="left"/>
      <w:lvlText w:val="2"/>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endash "/>
      <w:numFmt w:val="bullet"/>
      <w:start w:val="1"/>
    </w:lvl>
    <w:lvl w:ilvl="1">
      <w:lvlJc w:val="left"/>
      <w:lvlText w:val="•"/>
      <w:numFmt w:val="bullet"/>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endash "/>
      <w:numFmt w:val="bullet"/>
      <w:start w:val="1"/>
    </w:lvl>
  </w:abstractNum>
  <w:abstractNum w:abstractNumId="41">
    <w:nsid w:val="1CF10FD8"/>
    <w:multiLevelType w:val="hybridMultilevel"/>
    <w:lvl w:ilvl="0">
      <w:lvlJc w:val="left"/>
      <w:lvlText w:val="\endash "/>
      <w:numFmt w:val="bullet"/>
      <w:start w:val="1"/>
    </w:lvl>
  </w:abstractNum>
  <w:abstractNum w:abstractNumId="42">
    <w:nsid w:val="180115BE"/>
    <w:multiLevelType w:val="hybridMultilevel"/>
    <w:lvl w:ilvl="0">
      <w:lvlJc w:val="left"/>
      <w:lvlText w:val="\endash "/>
      <w:numFmt w:val="bullet"/>
      <w:start w:val="1"/>
    </w:lvl>
  </w:abstractNum>
  <w:abstractNum w:abstractNumId="43">
    <w:nsid w:val="235BA861"/>
    <w:multiLevelType w:val="hybridMultilevel"/>
    <w:lvl w:ilvl="0">
      <w:lvlJc w:val="left"/>
      <w:lvlText w:val="1"/>
      <w:numFmt w:val="bullet"/>
      <w:start w:val="1"/>
    </w:lvl>
  </w:abstractNum>
  <w:abstractNum w:abstractNumId="44">
    <w:nsid w:val="47398C89"/>
    <w:multiLevelType w:val="hybridMultilevel"/>
    <w:lvl w:ilvl="0">
      <w:lvlJc w:val="left"/>
      <w:lvlText w:val="2"/>
      <w:numFmt w:val="bullet"/>
      <w:start w:val="1"/>
    </w:lvl>
  </w:abstractNum>
  <w:abstractNum w:abstractNumId="45">
    <w:nsid w:val="354FE9F9"/>
    <w:multiLevelType w:val="hybridMultilevel"/>
    <w:lvl w:ilvl="0">
      <w:lvlJc w:val="left"/>
      <w:lvlText w:val="3"/>
      <w:numFmt w:val="bullet"/>
      <w:start w:val="1"/>
    </w:lvl>
  </w:abstractNum>
  <w:abstractNum w:abstractNumId="46">
    <w:nsid w:val="15B5AF5C"/>
    <w:multiLevelType w:val="hybridMultilevel"/>
    <w:lvl w:ilvl="0">
      <w:lvlJc w:val="left"/>
      <w:lvlText w:val="\endash "/>
      <w:numFmt w:val="bullet"/>
      <w:start w:val="1"/>
    </w:lvl>
  </w:abstractNum>
  <w:abstractNum w:abstractNumId="47">
    <w:nsid w:val="741226BB"/>
    <w:multiLevelType w:val="hybridMultilevel"/>
    <w:lvl w:ilvl="0">
      <w:lvlJc w:val="left"/>
      <w:lvlText w:val="1"/>
      <w:numFmt w:val="bullet"/>
      <w:start w:val="1"/>
    </w:lvl>
  </w:abstractNum>
  <w:abstractNum w:abstractNumId="48">
    <w:nsid w:val="D34B6A8"/>
    <w:multiLevelType w:val="hybridMultilevel"/>
    <w:lvl w:ilvl="0">
      <w:lvlJc w:val="left"/>
      <w:lvlText w:val="2"/>
      <w:numFmt w:val="bullet"/>
      <w:start w:val="1"/>
    </w:lvl>
  </w:abstractNum>
  <w:abstractNum w:abstractNumId="49">
    <w:nsid w:val="10233C99"/>
    <w:multiLevelType w:val="hybridMultilevel"/>
    <w:lvl w:ilvl="0">
      <w:lvlJc w:val="left"/>
      <w:lvlText w:val="3"/>
      <w:numFmt w:val="bullet"/>
      <w:start w:val="1"/>
    </w:lvl>
  </w:abstractNum>
  <w:abstractNum w:abstractNumId="50">
    <w:nsid w:val="3F6AB60F"/>
    <w:multiLevelType w:val="hybridMultilevel"/>
    <w:lvl w:ilvl="0">
      <w:lvlJc w:val="left"/>
      <w:lvlText w:val="(%1)"/>
      <w:numFmt w:val="decimal"/>
      <w:start w:val="3"/>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decimal"/>
      <w:start w:val="5"/>
    </w:lvl>
  </w:abstractNum>
  <w:abstractNum w:abstractNumId="55">
    <w:nsid w:val="310C50B3"/>
    <w:multiLevelType w:val="hybridMultilevel"/>
    <w:lvl w:ilvl="0">
      <w:lvlJc w:val="left"/>
      <w:lvlText w:val="(%1)"/>
      <w:numFmt w:val="decimal"/>
      <w:start w:val="1"/>
    </w:lvl>
    <w:lvl w:ilvl="1">
      <w:lvlJc w:val="left"/>
      <w:lvlText w:val="•"/>
      <w:numFmt w:val="bullet"/>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4"/>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2021-01-15T15:37:27Z</dcterms:created>
  <dcterms:modified xsi:type="dcterms:W3CDTF">2021-01-15T15:37:27Z</dcterms:modified>
</cp:coreProperties>
</file>