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23, 2020 (September 22, 2020)</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AECOM</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73"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0-52423</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61-1088522</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40" w:space="720"/>
            <w:col w:w="2800" w:space="720"/>
            <w:col w:w="2460"/>
          </w:cols>
          <w:pgMar w:left="320" w:top="673"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1999 Avenue of the Stars, Suite 2600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Los Angeles, California 90067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(Address of Principal Executive Offices, including Zip Code)</w:t>
      </w:r>
    </w:p>
    <w:p>
      <w:pPr>
        <w:sectPr>
          <w:pgSz w:w="11900" w:h="16838" w:orient="portrait"/>
          <w:cols w:equalWidth="0" w:num="1">
            <w:col w:w="11240"/>
          </w:cols>
          <w:pgMar w:left="320" w:top="673" w:right="339" w:bottom="1440" w:gutter="0" w:footer="0" w:header="0"/>
          <w:type w:val="continuous"/>
        </w:sectPr>
      </w:pPr>
    </w:p>
    <w:p>
      <w:pPr>
        <w:spacing w:after="0" w:line="21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(213) 593-8000</w:t>
      </w:r>
    </w:p>
    <w:p>
      <w:pPr>
        <w:spacing w:after="0" w:line="204" w:lineRule="exact"/>
        <w:rPr>
          <w:sz w:val="24"/>
          <w:szCs w:val="24"/>
          <w:color w:val="auto"/>
        </w:rPr>
      </w:pPr>
    </w:p>
    <w:p>
      <w:pPr>
        <w:sectPr>
          <w:pgSz w:w="11900" w:h="16838" w:orient="portrait"/>
          <w:cols w:equalWidth="0" w:num="2">
            <w:col w:w="6860" w:space="100"/>
            <w:col w:w="4280"/>
          </w:cols>
          <w:pgMar w:left="320" w:top="673" w:right="339" w:bottom="1440" w:gutter="0" w:footer="0" w:header="0"/>
          <w:type w:val="continuous"/>
        </w:sectPr>
      </w:pP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20" w:hanging="253"/>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20" w:hanging="253"/>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20" w:hanging="253"/>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14d-(b) under the Exchange Act (17 CFR 240.14d-2(b))</w:t>
      </w:r>
    </w:p>
    <w:p>
      <w:pPr>
        <w:spacing w:after="0" w:line="9" w:lineRule="exact"/>
        <w:rPr>
          <w:rFonts w:ascii="MS PGothic" w:cs="MS PGothic" w:eastAsia="MS PGothic" w:hAnsi="MS PGothic"/>
          <w:sz w:val="18"/>
          <w:szCs w:val="18"/>
          <w:color w:val="auto"/>
        </w:rPr>
      </w:pPr>
    </w:p>
    <w:p>
      <w:pPr>
        <w:ind w:left="520" w:hanging="253"/>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6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color w:val="auto"/>
              </w:rPr>
              <w:t>ACM</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On September 22, 2020, the Department of Justice issued a press release announcing the settlement of a False Claims Act whistleblower case involving the Department of Energy’s Waste Treatment Plant (WTP) project in Hanford, Washington. The settlement agreement was entered into with defendants Bechtel Corporation (the prime contractor), Waste Treatment Completion Company, and AECOM Energy and Construction Inc. (AECI), an entity that is no longer part of AECOM. In the agreed-upon Statement of Facts, which is an attachment to the settlement agreement, the defendants expressly deny fault or liability.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AECI was part of AECOM’s former Management Services business, which was sold in January of 2020 and now operates as Amentum. AECOM, therefore, was not a party to these settlement agreements, and agreements such as the corporate monitor agreement referenced in the DOJ press release are agreements that bind the defendants and not AECOM. AECOM has no current or future involvement in the WTP project.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AECOM’s role in the settlement process was limited to certain obligations in the agreement under which AECI was sold to Amentum. The net impact of the settlement and associated matters to AECOM’s cash flow and financial results is expected to be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74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AECOM</w:t>
            </w:r>
          </w:p>
        </w:tc>
      </w:tr>
      <w:tr>
        <w:trPr>
          <w:trHeight w:val="432"/>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September 23, 2020</w:t>
            </w:r>
          </w:p>
        </w:tc>
        <w:tc>
          <w:tcPr>
            <w:tcW w:w="74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 /s/ David Y. Gan</w:t>
            </w:r>
          </w:p>
        </w:tc>
      </w:tr>
      <w:tr>
        <w:trPr>
          <w:trHeight w:val="191"/>
        </w:trPr>
        <w:tc>
          <w:tcPr>
            <w:tcW w:w="38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Y. Gan</w:t>
            </w:r>
          </w:p>
        </w:tc>
      </w:tr>
      <w:tr>
        <w:trPr>
          <w:trHeight w:val="234"/>
        </w:trPr>
        <w:tc>
          <w:tcPr>
            <w:tcW w:w="38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w:t>
            </w:r>
          </w:p>
        </w:tc>
      </w:tr>
      <w:tr>
        <w:trPr>
          <w:trHeight w:val="891"/>
        </w:trPr>
        <w:tc>
          <w:tcPr>
            <w:tcW w:w="38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2020-09-23T05:57:12Z</dcterms:created>
  <dcterms:modified xsi:type="dcterms:W3CDTF">2020-09-23T05:57:12Z</dcterms:modified>
</cp:coreProperties>
</file>